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293" w:rsidRDefault="00596B02">
      <w:pPr>
        <w:spacing w:line="560" w:lineRule="exact"/>
        <w:jc w:val="center"/>
        <w:rPr>
          <w:rFonts w:ascii="宋体" w:hAnsi="宋体"/>
          <w:b/>
          <w:sz w:val="32"/>
          <w:szCs w:val="32"/>
        </w:rPr>
      </w:pPr>
      <w:r>
        <w:rPr>
          <w:rFonts w:ascii="宋体" w:hAnsi="宋体" w:hint="eastAsia"/>
          <w:b/>
          <w:sz w:val="32"/>
          <w:szCs w:val="32"/>
        </w:rPr>
        <w:t>湖南省地方标准</w:t>
      </w:r>
      <w:proofErr w:type="gramStart"/>
      <w:r>
        <w:rPr>
          <w:rFonts w:ascii="宋体" w:hAnsi="宋体" w:hint="eastAsia"/>
          <w:b/>
          <w:sz w:val="32"/>
          <w:szCs w:val="32"/>
        </w:rPr>
        <w:t>《</w:t>
      </w:r>
      <w:proofErr w:type="gramEnd"/>
      <w:r>
        <w:rPr>
          <w:rFonts w:ascii="宋体" w:hAnsi="宋体" w:hint="eastAsia"/>
          <w:b/>
          <w:sz w:val="32"/>
          <w:szCs w:val="32"/>
        </w:rPr>
        <w:t>硬质合金</w:t>
      </w:r>
      <w:r w:rsidR="00E855AF">
        <w:rPr>
          <w:rFonts w:ascii="宋体" w:hAnsi="宋体" w:hint="eastAsia"/>
          <w:b/>
          <w:sz w:val="32"/>
          <w:szCs w:val="32"/>
        </w:rPr>
        <w:t>能耗</w:t>
      </w:r>
      <w:r>
        <w:rPr>
          <w:rFonts w:ascii="宋体" w:hAnsi="宋体" w:hint="eastAsia"/>
          <w:b/>
          <w:sz w:val="32"/>
          <w:szCs w:val="32"/>
        </w:rPr>
        <w:t xml:space="preserve">及计算方法 </w:t>
      </w:r>
    </w:p>
    <w:p w:rsidR="00E62293" w:rsidRDefault="00596B02">
      <w:pPr>
        <w:spacing w:line="560" w:lineRule="exact"/>
        <w:jc w:val="center"/>
        <w:rPr>
          <w:rFonts w:ascii="宋体" w:hAnsi="宋体"/>
          <w:b/>
          <w:sz w:val="32"/>
          <w:szCs w:val="32"/>
        </w:rPr>
      </w:pPr>
      <w:r>
        <w:rPr>
          <w:rFonts w:ascii="宋体" w:hAnsi="宋体" w:hint="eastAsia"/>
          <w:b/>
          <w:sz w:val="32"/>
          <w:szCs w:val="32"/>
        </w:rPr>
        <w:t>第1部分：地矿和耐磨类</w:t>
      </w:r>
      <w:proofErr w:type="gramStart"/>
      <w:r>
        <w:rPr>
          <w:rFonts w:ascii="宋体" w:hAnsi="宋体" w:hint="eastAsia"/>
          <w:b/>
          <w:sz w:val="32"/>
          <w:szCs w:val="32"/>
        </w:rPr>
        <w:t>》</w:t>
      </w:r>
      <w:proofErr w:type="gramEnd"/>
      <w:r w:rsidR="00E855AF">
        <w:rPr>
          <w:rFonts w:ascii="宋体" w:hAnsi="宋体" w:hint="eastAsia"/>
          <w:b/>
          <w:sz w:val="32"/>
          <w:szCs w:val="32"/>
        </w:rPr>
        <w:t>（征求意见稿）</w:t>
      </w:r>
      <w:r>
        <w:rPr>
          <w:rFonts w:ascii="宋体" w:hAnsi="宋体" w:hint="eastAsia"/>
          <w:b/>
          <w:sz w:val="32"/>
          <w:szCs w:val="32"/>
        </w:rPr>
        <w:t>编制说明</w:t>
      </w:r>
    </w:p>
    <w:p w:rsidR="00E62293" w:rsidRDefault="00E62293">
      <w:pPr>
        <w:spacing w:line="560" w:lineRule="exact"/>
        <w:rPr>
          <w:rFonts w:ascii="仿宋_GB2312" w:eastAsia="仿宋_GB2312"/>
          <w:sz w:val="32"/>
          <w:szCs w:val="32"/>
        </w:rPr>
      </w:pP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一、项目来源</w:t>
      </w:r>
    </w:p>
    <w:p w:rsidR="00E62293" w:rsidRDefault="00596B02">
      <w:pPr>
        <w:spacing w:line="276" w:lineRule="auto"/>
        <w:ind w:firstLineChars="200" w:firstLine="560"/>
        <w:rPr>
          <w:rFonts w:ascii="宋体" w:hAnsi="宋体"/>
          <w:sz w:val="24"/>
        </w:rPr>
      </w:pPr>
      <w:r>
        <w:rPr>
          <w:rFonts w:ascii="宋体" w:hAnsi="宋体" w:hint="eastAsia"/>
          <w:sz w:val="28"/>
          <w:szCs w:val="28"/>
        </w:rPr>
        <w:t>根据《湖南省市场监督管理局关于下达2022年第一批地方标准制修订项目计划的通知》（</w:t>
      </w:r>
      <w:proofErr w:type="gramStart"/>
      <w:r>
        <w:rPr>
          <w:rFonts w:ascii="宋体" w:hAnsi="宋体" w:hint="eastAsia"/>
          <w:sz w:val="28"/>
          <w:szCs w:val="28"/>
        </w:rPr>
        <w:t>湘市监标函</w:t>
      </w:r>
      <w:proofErr w:type="gramEnd"/>
      <w:r>
        <w:rPr>
          <w:rFonts w:ascii="宋体" w:hAnsi="宋体" w:hint="eastAsia"/>
          <w:sz w:val="28"/>
          <w:szCs w:val="28"/>
        </w:rPr>
        <w:t>【2022】4号）的要求，确定了由株洲硬质合金集团有限公司牵头制定《硬质合金能耗及计算方法 第1部分：地矿和耐磨类》湖南省地方标准，加强企业能源管理、提升能效水平，加快构建工业绿色制造体系，促进工业绿色发展。</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二、目的和意义</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硬质合金是由难熔金属的硬质化合物和粘结金属通过粉末冶金工艺制成的一种合金材料，具有高弹性模量、高强度、高硬度、耐磨损、耐腐蚀、抗冲击、热膨胀系数小以及室温和高温化学性质稳定等一系列优良性能，因此被誉为“工业的牙齿” ，用于制造切削工具、刀具、钻具和耐磨零部件等，广泛应用于军工、航天航空、机械加工、冶金、石油钻井、矿山工具、电子通讯、建筑等领域，伴随下游产业的发展，硬质合金市场需求不断加大，据硬质合金行业协会数据统计，2021年硬质合金产量达到5.1万吨，其中地矿和耐磨类硬质合金达到2.6万吨，占硬质合金总产量50%以上，并且未来高新技术武器装备制造、尖端科学技术的进步以及核能源的快速发展，将大力提高对高技术含量和高质量稳定性的硬质合金产品的需求，我国的硬质合金产业伴随着国内外需求的增长得到了飞速发展。硬质合金属于有色金属，是我国基础产业之一，也是我省传统优势行业。</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lastRenderedPageBreak/>
        <w:t>根据《国务院关于印发“十四五”节能减排综合工作方案的通知》（国发〔2021〕33号）中“三、实施节能减排重点工程，（一）重点行业绿色升级工程。以钢铁、有色金属、建材、石化化工等行业为重点，推进节能改造和污染物深度治理。”</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为充分发挥能耗标准的引领作用，推动硬质合金生产企业工艺创新和节能技术进步，有序开展</w:t>
      </w:r>
      <w:proofErr w:type="gramStart"/>
      <w:r>
        <w:rPr>
          <w:rFonts w:ascii="宋体" w:hAnsi="宋体" w:hint="eastAsia"/>
          <w:sz w:val="28"/>
          <w:szCs w:val="28"/>
        </w:rPr>
        <w:t>节能降碳技术改造</w:t>
      </w:r>
      <w:proofErr w:type="gramEnd"/>
      <w:r>
        <w:rPr>
          <w:rFonts w:ascii="宋体" w:hAnsi="宋体" w:hint="eastAsia"/>
          <w:sz w:val="28"/>
          <w:szCs w:val="28"/>
        </w:rPr>
        <w:t>，促进企业提高</w:t>
      </w:r>
      <w:proofErr w:type="gramStart"/>
      <w:r>
        <w:rPr>
          <w:rFonts w:ascii="宋体" w:hAnsi="宋体" w:hint="eastAsia"/>
          <w:sz w:val="28"/>
          <w:szCs w:val="28"/>
        </w:rPr>
        <w:t>节能减碳的</w:t>
      </w:r>
      <w:proofErr w:type="gramEnd"/>
      <w:r>
        <w:rPr>
          <w:rFonts w:ascii="宋体" w:hAnsi="宋体" w:hint="eastAsia"/>
          <w:sz w:val="28"/>
          <w:szCs w:val="28"/>
        </w:rPr>
        <w:t>技术水平和管理水平。同时加快产业结构调整和优化升级，促进节能减排，有效指导和规范企业用能统计，促进企业内部进行合理用能考核，推动企业节能降耗工作的深入开展，必须对硬质合金产品的能耗标准进行深入研究，建立和完善科学合理的硬质合金产品能耗标准，达到节能减排和提高能源利用效率的目的，满足国家宏观调控和市场需求。对照硬质合金行业能效标杆水平和基准水平，同时对标国内外相关行业先进能效水平，不断引领行业整体能效水平逐步提升，为行业转型升级提供标准支撑，持续推动硬质合金行业</w:t>
      </w:r>
      <w:proofErr w:type="gramStart"/>
      <w:r>
        <w:rPr>
          <w:rFonts w:ascii="宋体" w:hAnsi="宋体" w:hint="eastAsia"/>
          <w:sz w:val="28"/>
          <w:szCs w:val="28"/>
        </w:rPr>
        <w:t>节能降碳和</w:t>
      </w:r>
      <w:proofErr w:type="gramEnd"/>
      <w:r>
        <w:rPr>
          <w:rFonts w:ascii="宋体" w:hAnsi="宋体" w:hint="eastAsia"/>
          <w:sz w:val="28"/>
          <w:szCs w:val="28"/>
        </w:rPr>
        <w:t>绿色转型，如期</w:t>
      </w:r>
      <w:proofErr w:type="gramStart"/>
      <w:r>
        <w:rPr>
          <w:rFonts w:ascii="宋体" w:hAnsi="宋体" w:hint="eastAsia"/>
          <w:sz w:val="28"/>
          <w:szCs w:val="28"/>
        </w:rPr>
        <w:t>实现碳达峰</w:t>
      </w:r>
      <w:proofErr w:type="gramEnd"/>
      <w:r>
        <w:rPr>
          <w:rFonts w:ascii="宋体" w:hAnsi="宋体" w:hint="eastAsia"/>
          <w:sz w:val="28"/>
          <w:szCs w:val="28"/>
        </w:rPr>
        <w:t>、碳中和目标。硬质合金生产工艺复杂，生产流程长，不同产品类别的能耗有差异。目前国内外尚未发布针对硬质合金不同类别产品的能耗标准。为规范硬质合金生产企业能源消耗指标的计算与考核评定，淘汰落后生产工艺，提高能源利用效率，需制定硬质合金能源消耗限额标准和计算方法。</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通过标准库查询，未查到国内外关于硬质合金不同类别单位产品能耗的标准。我国目前还</w:t>
      </w:r>
      <w:proofErr w:type="gramStart"/>
      <w:r>
        <w:rPr>
          <w:rFonts w:ascii="宋体" w:hAnsi="宋体" w:hint="eastAsia"/>
          <w:sz w:val="28"/>
          <w:szCs w:val="28"/>
        </w:rPr>
        <w:t>未发布</w:t>
      </w:r>
      <w:proofErr w:type="gramEnd"/>
      <w:r>
        <w:rPr>
          <w:rFonts w:ascii="宋体" w:hAnsi="宋体" w:hint="eastAsia"/>
          <w:sz w:val="28"/>
          <w:szCs w:val="28"/>
        </w:rPr>
        <w:t>不同类别硬质合金单位产品能耗相关的国家标准、行业标准、团体标准或者地方标准。</w:t>
      </w:r>
    </w:p>
    <w:p w:rsidR="00E62293" w:rsidRDefault="00596B02">
      <w:pPr>
        <w:spacing w:line="276" w:lineRule="auto"/>
        <w:ind w:firstLineChars="200" w:firstLine="560"/>
        <w:rPr>
          <w:rFonts w:ascii="仿宋_GB2312" w:eastAsia="仿宋_GB2312" w:hAnsi="黑体"/>
          <w:sz w:val="28"/>
          <w:szCs w:val="28"/>
        </w:rPr>
      </w:pPr>
      <w:r>
        <w:rPr>
          <w:rFonts w:ascii="宋体" w:hAnsi="宋体" w:hint="eastAsia"/>
          <w:sz w:val="28"/>
          <w:szCs w:val="28"/>
        </w:rPr>
        <w:t>通过起草制定《硬质合金能耗及计算方法 第1部分：地矿和耐磨类》</w:t>
      </w:r>
      <w:r>
        <w:rPr>
          <w:rFonts w:ascii="宋体" w:hAnsi="宋体" w:hint="eastAsia"/>
          <w:sz w:val="28"/>
          <w:szCs w:val="28"/>
        </w:rPr>
        <w:lastRenderedPageBreak/>
        <w:t>的地方标准，对湖南省硬质合金行业单位产品能源消耗限额及计算方法进行明确，指导企业科学、合理减少产品的能源消耗，全面推动落实产业的节能降耗工作。</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三、编写原则</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（一）有利于高效、合理利用和节约资源、保护环境、推广节能新技术和工艺、促进行业公平竞争、提高经济和社会效益；</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（二）做到技术上先进，经济上合理；</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 xml:space="preserve">（三）坚持标准的指导性、实用性和可操作性； </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（四）坚持标准的内容和形式的严肃性。</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四、编写依据</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根据收集的数据并整理分析，本次标准制定时能耗指标采取以下措施：</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1、调研所得硬质合金能耗有效数据来自有一定地矿类和耐磨类硬质合金生产规模的大中型企业，制订标准时以这些能耗数据</w:t>
      </w:r>
      <w:proofErr w:type="gramStart"/>
      <w:r>
        <w:rPr>
          <w:rFonts w:ascii="宋体" w:hAnsi="宋体" w:hint="eastAsia"/>
          <w:sz w:val="28"/>
          <w:szCs w:val="28"/>
        </w:rPr>
        <w:t>较高值</w:t>
      </w:r>
      <w:proofErr w:type="gramEnd"/>
      <w:r>
        <w:rPr>
          <w:rFonts w:ascii="宋体" w:hAnsi="宋体" w:hint="eastAsia"/>
          <w:sz w:val="28"/>
          <w:szCs w:val="28"/>
        </w:rPr>
        <w:t>作为限定值指标，再参考行业标准及各省地方标准，遵循地方标准严于国家和行业标准的原则，按照一定规律确定地矿类和耐磨类硬质合金单位产品能耗限定值、准入值、先进值；</w:t>
      </w:r>
    </w:p>
    <w:p w:rsidR="00E62293" w:rsidRDefault="00596B02">
      <w:pPr>
        <w:spacing w:line="276" w:lineRule="auto"/>
        <w:ind w:firstLineChars="200" w:firstLine="560"/>
        <w:rPr>
          <w:rFonts w:ascii="宋体" w:hAnsi="宋体"/>
          <w:sz w:val="28"/>
          <w:szCs w:val="28"/>
        </w:rPr>
      </w:pPr>
      <w:r>
        <w:rPr>
          <w:rFonts w:ascii="宋体" w:hAnsi="宋体"/>
          <w:sz w:val="28"/>
          <w:szCs w:val="28"/>
        </w:rPr>
        <w:t>2</w:t>
      </w:r>
      <w:r>
        <w:rPr>
          <w:rFonts w:ascii="宋体" w:hAnsi="宋体" w:hint="eastAsia"/>
          <w:sz w:val="28"/>
          <w:szCs w:val="28"/>
        </w:rPr>
        <w:t>、保证地方标准能耗指标不得低于国家和行业标准的能耗指标要求。</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3、推荐的能耗计算公式的确定</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硬质合金综合能耗和单位产品能耗的计算公式是参考国家标准GB/T 2589 综合能耗计算通则的计算方法和公式而给出。</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4、新增可再生能源电力、</w:t>
      </w:r>
      <w:r>
        <w:rPr>
          <w:rFonts w:ascii="宋体" w:hAnsi="宋体"/>
          <w:sz w:val="28"/>
          <w:szCs w:val="28"/>
        </w:rPr>
        <w:t>原料用能及外购耗能工质（水、氢气、氮气、氩气、压缩空气等），均不纳入能源消耗总量</w:t>
      </w:r>
      <w:r>
        <w:rPr>
          <w:rFonts w:ascii="宋体" w:hAnsi="宋体" w:hint="eastAsia"/>
          <w:sz w:val="28"/>
          <w:szCs w:val="28"/>
        </w:rPr>
        <w:t>。但是企业及新建项目</w:t>
      </w:r>
      <w:r>
        <w:rPr>
          <w:rFonts w:ascii="宋体" w:hAnsi="宋体" w:hint="eastAsia"/>
          <w:sz w:val="28"/>
          <w:szCs w:val="28"/>
        </w:rPr>
        <w:lastRenderedPageBreak/>
        <w:t>生产耗能工质消费的能源纳入能源消耗总量。</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五、编写过程</w:t>
      </w:r>
    </w:p>
    <w:p w:rsidR="00E62293" w:rsidRDefault="00596B02">
      <w:pPr>
        <w:spacing w:line="276" w:lineRule="auto"/>
        <w:ind w:firstLineChars="200" w:firstLine="560"/>
        <w:rPr>
          <w:rFonts w:ascii="宋体" w:hAnsi="宋体"/>
          <w:sz w:val="24"/>
        </w:rPr>
      </w:pPr>
      <w:r>
        <w:rPr>
          <w:rFonts w:ascii="宋体" w:hAnsi="宋体" w:hint="eastAsia"/>
          <w:sz w:val="28"/>
          <w:szCs w:val="28"/>
        </w:rPr>
        <w:t>为确保湖南省地方标准《硬质合金能耗及计算方法 第1部分：地矿和耐磨类》的制定工作在2022年底顺利完成，硬质合金能耗标准编制工作小组于</w:t>
      </w:r>
      <w:r>
        <w:rPr>
          <w:rFonts w:ascii="宋体" w:hAnsi="宋体"/>
          <w:sz w:val="28"/>
          <w:szCs w:val="28"/>
        </w:rPr>
        <w:t>202</w:t>
      </w:r>
      <w:r>
        <w:rPr>
          <w:rFonts w:ascii="宋体" w:hAnsi="宋体" w:hint="eastAsia"/>
          <w:sz w:val="28"/>
          <w:szCs w:val="28"/>
        </w:rPr>
        <w:t>2年1月成立，由株洲硬质合金集团有限公司、株洲肯特硬质合金股份有限公司、株洲精工硬质合金有限公司人员组成，共同负责该项硬质合金能耗标准的制订工作。工作小组确定了标准的修订原则和方法，制定了工作计划及标准主要起草人以及分工（见表1）、调查方案和能耗数据调查表，以确保标准修订的质量和进度。</w:t>
      </w:r>
    </w:p>
    <w:p w:rsidR="00E62293" w:rsidRDefault="00596B02">
      <w:pPr>
        <w:spacing w:line="276" w:lineRule="auto"/>
        <w:ind w:firstLine="636"/>
        <w:jc w:val="center"/>
        <w:rPr>
          <w:rFonts w:ascii="黑体" w:eastAsia="黑体" w:hAnsi="黑体"/>
          <w:sz w:val="24"/>
        </w:rPr>
      </w:pPr>
      <w:r>
        <w:rPr>
          <w:rFonts w:ascii="黑体" w:eastAsia="黑体" w:hAnsi="黑体" w:hint="eastAsia"/>
          <w:sz w:val="24"/>
        </w:rPr>
        <w:t>表1  标准主要起草人以及分工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028"/>
        <w:gridCol w:w="3780"/>
      </w:tblGrid>
      <w:tr w:rsidR="00E62293">
        <w:tc>
          <w:tcPr>
            <w:tcW w:w="1242"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姓名</w:t>
            </w:r>
          </w:p>
        </w:tc>
        <w:tc>
          <w:tcPr>
            <w:tcW w:w="4028"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单位</w:t>
            </w:r>
          </w:p>
        </w:tc>
        <w:tc>
          <w:tcPr>
            <w:tcW w:w="3780"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分工</w:t>
            </w:r>
          </w:p>
        </w:tc>
      </w:tr>
      <w:tr w:rsidR="00E62293">
        <w:tc>
          <w:tcPr>
            <w:tcW w:w="1242"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刘铁梅</w:t>
            </w:r>
          </w:p>
        </w:tc>
        <w:tc>
          <w:tcPr>
            <w:tcW w:w="4028"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株洲硬质合金集团有限公司</w:t>
            </w:r>
          </w:p>
        </w:tc>
        <w:tc>
          <w:tcPr>
            <w:tcW w:w="3780"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负责标准编写策划、组织、审核、协调工作</w:t>
            </w:r>
          </w:p>
        </w:tc>
      </w:tr>
      <w:tr w:rsidR="00E62293">
        <w:tc>
          <w:tcPr>
            <w:tcW w:w="1242"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龚斌</w:t>
            </w:r>
          </w:p>
        </w:tc>
        <w:tc>
          <w:tcPr>
            <w:tcW w:w="4028"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株洲硬质合金集团有限公司</w:t>
            </w:r>
          </w:p>
        </w:tc>
        <w:tc>
          <w:tcPr>
            <w:tcW w:w="3780"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负责标准调研及标准起草工作</w:t>
            </w:r>
          </w:p>
        </w:tc>
      </w:tr>
      <w:tr w:rsidR="00E62293">
        <w:tc>
          <w:tcPr>
            <w:tcW w:w="1242"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尹虹</w:t>
            </w:r>
          </w:p>
        </w:tc>
        <w:tc>
          <w:tcPr>
            <w:tcW w:w="4028"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株洲硬质合金集团有限公司</w:t>
            </w:r>
          </w:p>
        </w:tc>
        <w:tc>
          <w:tcPr>
            <w:tcW w:w="3780"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负责资料收集、分析，参与标准起草工作</w:t>
            </w:r>
          </w:p>
        </w:tc>
      </w:tr>
      <w:tr w:rsidR="00E62293">
        <w:tc>
          <w:tcPr>
            <w:tcW w:w="1242"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吴建国</w:t>
            </w:r>
          </w:p>
        </w:tc>
        <w:tc>
          <w:tcPr>
            <w:tcW w:w="4028"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株洲肯特硬质合金股份有限公司</w:t>
            </w:r>
          </w:p>
        </w:tc>
        <w:tc>
          <w:tcPr>
            <w:tcW w:w="3780"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参与标准起草、资料收集</w:t>
            </w:r>
          </w:p>
        </w:tc>
      </w:tr>
      <w:tr w:rsidR="00E62293">
        <w:tc>
          <w:tcPr>
            <w:tcW w:w="1242"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陈明</w:t>
            </w:r>
          </w:p>
        </w:tc>
        <w:tc>
          <w:tcPr>
            <w:tcW w:w="4028"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株洲精工硬质合金有限公司</w:t>
            </w:r>
          </w:p>
        </w:tc>
        <w:tc>
          <w:tcPr>
            <w:tcW w:w="3780"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参与标准起草、资料收集</w:t>
            </w:r>
          </w:p>
        </w:tc>
      </w:tr>
    </w:tbl>
    <w:p w:rsidR="00E62293" w:rsidRDefault="00596B02">
      <w:pPr>
        <w:spacing w:line="276" w:lineRule="auto"/>
        <w:ind w:firstLineChars="200" w:firstLine="560"/>
        <w:rPr>
          <w:rFonts w:ascii="宋体" w:hAnsi="宋体"/>
          <w:sz w:val="28"/>
          <w:szCs w:val="28"/>
        </w:rPr>
      </w:pPr>
      <w:r>
        <w:rPr>
          <w:rFonts w:ascii="宋体" w:hAnsi="宋体" w:hint="eastAsia"/>
          <w:sz w:val="28"/>
          <w:szCs w:val="28"/>
        </w:rPr>
        <w:t>1、调研收集数据</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为掌握湖南省及国内硬质合金生产企业的实际生产和能耗情况，使制订的标准合理反映我省硬质合金生产和发展状况，并对硬质合金行业节能有推进作用，工作小组对湖南省及国内多家有一定生产规模的地矿和耐磨类硬质合金企业进行了2020年度及2021年度数据调研，收集了相关资料并发放能耗调查表。调研的企业除起草单位外，还包括</w:t>
      </w:r>
      <w:proofErr w:type="gramStart"/>
      <w:r>
        <w:rPr>
          <w:rFonts w:ascii="宋体" w:hAnsi="宋体" w:hint="eastAsia"/>
          <w:sz w:val="28"/>
          <w:szCs w:val="28"/>
        </w:rPr>
        <w:t>株洲金韦</w:t>
      </w:r>
      <w:proofErr w:type="gramEnd"/>
      <w:r>
        <w:rPr>
          <w:rFonts w:ascii="宋体" w:hAnsi="宋体" w:hint="eastAsia"/>
          <w:sz w:val="28"/>
          <w:szCs w:val="28"/>
        </w:rPr>
        <w:t>硬质合金有限公司、株洲西迪技术股份有限公司、自贡硬质合金有限责任公司、济南市冶金科学研究所有限责任公司、浙江德威硬质合金制造有限公司、</w:t>
      </w:r>
      <w:proofErr w:type="gramStart"/>
      <w:r>
        <w:rPr>
          <w:rFonts w:ascii="宋体" w:hAnsi="宋体" w:hint="eastAsia"/>
          <w:sz w:val="28"/>
          <w:szCs w:val="28"/>
        </w:rPr>
        <w:t>浙</w:t>
      </w:r>
      <w:r>
        <w:rPr>
          <w:rFonts w:ascii="宋体" w:hAnsi="宋体" w:hint="eastAsia"/>
          <w:sz w:val="28"/>
          <w:szCs w:val="28"/>
        </w:rPr>
        <w:lastRenderedPageBreak/>
        <w:t>江恒成硬质合金</w:t>
      </w:r>
      <w:proofErr w:type="gramEnd"/>
      <w:r>
        <w:rPr>
          <w:rFonts w:ascii="宋体" w:hAnsi="宋体" w:hint="eastAsia"/>
          <w:sz w:val="28"/>
          <w:szCs w:val="28"/>
        </w:rPr>
        <w:t>有限公司等企业。</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2、数据整理、测试和计算结果分析</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标准编制小组对收到的能耗调查表进行了整理和核算，剔除逻辑上不合理的表格，得到数据真实有效的能耗调查表为9份，对所收集到的数据进行了整理分析，2020年、2021年调研单位</w:t>
      </w:r>
      <w:proofErr w:type="gramStart"/>
      <w:r>
        <w:rPr>
          <w:rFonts w:ascii="宋体" w:hAnsi="宋体" w:hint="eastAsia"/>
          <w:sz w:val="28"/>
          <w:szCs w:val="28"/>
        </w:rPr>
        <w:t>实际</w:t>
      </w:r>
      <w:r>
        <w:rPr>
          <w:rFonts w:ascii="宋体" w:hAnsi="宋体"/>
          <w:sz w:val="28"/>
          <w:szCs w:val="28"/>
        </w:rPr>
        <w:t>单位</w:t>
      </w:r>
      <w:proofErr w:type="gramEnd"/>
      <w:r>
        <w:rPr>
          <w:rFonts w:ascii="宋体" w:hAnsi="宋体"/>
          <w:sz w:val="28"/>
          <w:szCs w:val="28"/>
        </w:rPr>
        <w:t>产品</w:t>
      </w:r>
      <w:r>
        <w:rPr>
          <w:rFonts w:ascii="宋体" w:hAnsi="宋体" w:hint="eastAsia"/>
          <w:sz w:val="28"/>
          <w:szCs w:val="28"/>
        </w:rPr>
        <w:t>综合</w:t>
      </w:r>
      <w:r>
        <w:rPr>
          <w:rFonts w:ascii="宋体" w:hAnsi="宋体"/>
          <w:sz w:val="28"/>
          <w:szCs w:val="28"/>
        </w:rPr>
        <w:t>能耗</w:t>
      </w:r>
      <w:r>
        <w:rPr>
          <w:rFonts w:ascii="宋体" w:hAnsi="宋体" w:hint="eastAsia"/>
          <w:sz w:val="28"/>
          <w:szCs w:val="28"/>
        </w:rPr>
        <w:t>统计情况见表2。</w:t>
      </w:r>
    </w:p>
    <w:p w:rsidR="00E62293" w:rsidRDefault="00596B02">
      <w:pPr>
        <w:spacing w:line="276" w:lineRule="auto"/>
        <w:ind w:firstLineChars="200" w:firstLine="560"/>
        <w:rPr>
          <w:sz w:val="28"/>
          <w:szCs w:val="28"/>
        </w:rPr>
      </w:pPr>
      <w:r>
        <w:rPr>
          <w:rFonts w:ascii="黑体" w:eastAsia="黑体" w:hAnsi="黑体" w:hint="eastAsia"/>
          <w:sz w:val="28"/>
          <w:szCs w:val="28"/>
        </w:rPr>
        <w:t>表2    2020年、2021年调研单位</w:t>
      </w:r>
      <w:proofErr w:type="gramStart"/>
      <w:r>
        <w:rPr>
          <w:rFonts w:ascii="黑体" w:eastAsia="黑体" w:hAnsi="黑体" w:hint="eastAsia"/>
          <w:sz w:val="28"/>
          <w:szCs w:val="28"/>
        </w:rPr>
        <w:t>实际</w:t>
      </w:r>
      <w:r>
        <w:rPr>
          <w:rFonts w:ascii="黑体" w:eastAsia="黑体" w:hAnsi="黑体"/>
          <w:sz w:val="28"/>
          <w:szCs w:val="28"/>
        </w:rPr>
        <w:t>单位</w:t>
      </w:r>
      <w:proofErr w:type="gramEnd"/>
      <w:r>
        <w:rPr>
          <w:rFonts w:ascii="黑体" w:eastAsia="黑体" w:hAnsi="黑体"/>
          <w:sz w:val="28"/>
          <w:szCs w:val="28"/>
        </w:rPr>
        <w:t>产品</w:t>
      </w:r>
      <w:r>
        <w:rPr>
          <w:rFonts w:ascii="黑体" w:eastAsia="黑体" w:hAnsi="黑体" w:hint="eastAsia"/>
          <w:sz w:val="28"/>
          <w:szCs w:val="28"/>
        </w:rPr>
        <w:t>综合</w:t>
      </w:r>
      <w:r>
        <w:rPr>
          <w:rFonts w:ascii="黑体" w:eastAsia="黑体" w:hAnsi="黑体"/>
          <w:sz w:val="28"/>
          <w:szCs w:val="28"/>
        </w:rPr>
        <w:t>能耗</w:t>
      </w:r>
      <w:r>
        <w:rPr>
          <w:rFonts w:ascii="黑体" w:eastAsia="黑体" w:hAnsi="黑体" w:hint="eastAsia"/>
          <w:sz w:val="28"/>
          <w:szCs w:val="28"/>
        </w:rPr>
        <w:t>统计表</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939"/>
        <w:gridCol w:w="905"/>
        <w:gridCol w:w="927"/>
        <w:gridCol w:w="778"/>
        <w:gridCol w:w="936"/>
        <w:gridCol w:w="853"/>
        <w:gridCol w:w="934"/>
        <w:gridCol w:w="929"/>
      </w:tblGrid>
      <w:tr w:rsidR="00E62293">
        <w:trPr>
          <w:trHeight w:val="849"/>
        </w:trPr>
        <w:tc>
          <w:tcPr>
            <w:tcW w:w="2235" w:type="dxa"/>
            <w:vMerge w:val="restart"/>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单位名称</w:t>
            </w:r>
          </w:p>
        </w:tc>
        <w:tc>
          <w:tcPr>
            <w:tcW w:w="3543" w:type="dxa"/>
            <w:gridSpan w:val="4"/>
            <w:shd w:val="clear" w:color="auto" w:fill="auto"/>
            <w:vAlign w:val="center"/>
          </w:tcPr>
          <w:p w:rsidR="00E62293" w:rsidRDefault="00596B02">
            <w:pPr>
              <w:jc w:val="center"/>
              <w:rPr>
                <w:rFonts w:ascii="宋体" w:hAnsi="宋体"/>
                <w:szCs w:val="21"/>
              </w:rPr>
            </w:pPr>
            <w:r>
              <w:rPr>
                <w:rFonts w:ascii="宋体" w:hAnsi="宋体" w:hint="eastAsia"/>
                <w:szCs w:val="21"/>
              </w:rPr>
              <w:t>2020年度</w:t>
            </w:r>
            <w:proofErr w:type="gramStart"/>
            <w:r>
              <w:rPr>
                <w:rFonts w:ascii="宋体" w:hAnsi="宋体" w:hint="eastAsia"/>
                <w:szCs w:val="21"/>
              </w:rPr>
              <w:t>实际</w:t>
            </w:r>
            <w:r>
              <w:rPr>
                <w:rFonts w:ascii="宋体" w:hAnsi="宋体"/>
                <w:szCs w:val="21"/>
              </w:rPr>
              <w:t>单位</w:t>
            </w:r>
            <w:proofErr w:type="gramEnd"/>
            <w:r>
              <w:rPr>
                <w:rFonts w:ascii="宋体" w:hAnsi="宋体"/>
                <w:szCs w:val="21"/>
              </w:rPr>
              <w:t>产品</w:t>
            </w:r>
            <w:r>
              <w:rPr>
                <w:rFonts w:ascii="宋体" w:hAnsi="宋体" w:hint="eastAsia"/>
                <w:szCs w:val="21"/>
              </w:rPr>
              <w:t>综合</w:t>
            </w:r>
            <w:r>
              <w:rPr>
                <w:rFonts w:ascii="宋体" w:hAnsi="宋体"/>
                <w:szCs w:val="21"/>
              </w:rPr>
              <w:t>能耗</w:t>
            </w:r>
          </w:p>
          <w:p w:rsidR="00E62293" w:rsidRDefault="00596B02">
            <w:pPr>
              <w:jc w:val="center"/>
              <w:rPr>
                <w:rFonts w:ascii="宋体" w:hAnsi="宋体"/>
                <w:sz w:val="24"/>
              </w:rPr>
            </w:pPr>
            <w:proofErr w:type="spellStart"/>
            <w:r>
              <w:rPr>
                <w:rFonts w:ascii="宋体" w:hAnsi="宋体"/>
                <w:sz w:val="24"/>
              </w:rPr>
              <w:t>kgce</w:t>
            </w:r>
            <w:proofErr w:type="spellEnd"/>
            <w:r>
              <w:rPr>
                <w:rFonts w:ascii="宋体" w:hAnsi="宋体"/>
                <w:sz w:val="24"/>
              </w:rPr>
              <w:t>/t</w:t>
            </w:r>
          </w:p>
        </w:tc>
        <w:tc>
          <w:tcPr>
            <w:tcW w:w="3647" w:type="dxa"/>
            <w:gridSpan w:val="4"/>
            <w:shd w:val="clear" w:color="auto" w:fill="auto"/>
            <w:vAlign w:val="center"/>
          </w:tcPr>
          <w:p w:rsidR="00E62293" w:rsidRDefault="00596B02">
            <w:pPr>
              <w:jc w:val="center"/>
              <w:rPr>
                <w:rFonts w:ascii="宋体" w:hAnsi="宋体"/>
                <w:szCs w:val="21"/>
              </w:rPr>
            </w:pPr>
            <w:r>
              <w:rPr>
                <w:rFonts w:ascii="宋体" w:hAnsi="宋体" w:hint="eastAsia"/>
                <w:szCs w:val="21"/>
              </w:rPr>
              <w:t>2021年度</w:t>
            </w:r>
            <w:proofErr w:type="gramStart"/>
            <w:r>
              <w:rPr>
                <w:rFonts w:ascii="宋体" w:hAnsi="宋体" w:hint="eastAsia"/>
                <w:szCs w:val="21"/>
              </w:rPr>
              <w:t>实际</w:t>
            </w:r>
            <w:r>
              <w:rPr>
                <w:rFonts w:ascii="宋体" w:hAnsi="宋体"/>
                <w:szCs w:val="21"/>
              </w:rPr>
              <w:t>单位</w:t>
            </w:r>
            <w:proofErr w:type="gramEnd"/>
            <w:r>
              <w:rPr>
                <w:rFonts w:ascii="宋体" w:hAnsi="宋体"/>
                <w:szCs w:val="21"/>
              </w:rPr>
              <w:t>产品</w:t>
            </w:r>
            <w:r>
              <w:rPr>
                <w:rFonts w:ascii="宋体" w:hAnsi="宋体" w:hint="eastAsia"/>
                <w:szCs w:val="21"/>
              </w:rPr>
              <w:t>综合</w:t>
            </w:r>
            <w:r>
              <w:rPr>
                <w:rFonts w:ascii="宋体" w:hAnsi="宋体"/>
                <w:szCs w:val="21"/>
              </w:rPr>
              <w:t>能耗</w:t>
            </w:r>
          </w:p>
          <w:p w:rsidR="00E62293" w:rsidRDefault="00596B02">
            <w:pPr>
              <w:jc w:val="center"/>
              <w:rPr>
                <w:rFonts w:ascii="宋体" w:hAnsi="宋体"/>
                <w:sz w:val="24"/>
              </w:rPr>
            </w:pPr>
            <w:proofErr w:type="spellStart"/>
            <w:r>
              <w:rPr>
                <w:rFonts w:ascii="宋体" w:hAnsi="宋体"/>
                <w:sz w:val="24"/>
              </w:rPr>
              <w:t>kgce</w:t>
            </w:r>
            <w:proofErr w:type="spellEnd"/>
            <w:r>
              <w:rPr>
                <w:rFonts w:ascii="宋体" w:hAnsi="宋体"/>
                <w:sz w:val="24"/>
              </w:rPr>
              <w:t>/t</w:t>
            </w:r>
          </w:p>
        </w:tc>
      </w:tr>
      <w:tr w:rsidR="00E62293">
        <w:trPr>
          <w:trHeight w:val="520"/>
        </w:trPr>
        <w:tc>
          <w:tcPr>
            <w:tcW w:w="2235" w:type="dxa"/>
            <w:vMerge/>
            <w:shd w:val="clear" w:color="auto" w:fill="auto"/>
            <w:vAlign w:val="center"/>
          </w:tcPr>
          <w:p w:rsidR="00E62293" w:rsidRDefault="00E62293">
            <w:pPr>
              <w:spacing w:line="560" w:lineRule="exact"/>
              <w:jc w:val="center"/>
              <w:rPr>
                <w:rFonts w:ascii="宋体" w:hAnsi="宋体"/>
                <w:sz w:val="24"/>
              </w:rPr>
            </w:pPr>
          </w:p>
        </w:tc>
        <w:tc>
          <w:tcPr>
            <w:tcW w:w="1842" w:type="dxa"/>
            <w:gridSpan w:val="2"/>
            <w:shd w:val="clear" w:color="auto" w:fill="auto"/>
            <w:vAlign w:val="center"/>
          </w:tcPr>
          <w:p w:rsidR="00E62293" w:rsidRDefault="00596B02">
            <w:pPr>
              <w:jc w:val="center"/>
              <w:rPr>
                <w:rFonts w:ascii="宋体" w:hAnsi="宋体"/>
                <w:sz w:val="24"/>
              </w:rPr>
            </w:pPr>
            <w:r>
              <w:rPr>
                <w:rFonts w:ascii="宋体" w:hAnsi="宋体" w:hint="eastAsia"/>
                <w:sz w:val="24"/>
              </w:rPr>
              <w:t>地矿类产品</w:t>
            </w:r>
          </w:p>
        </w:tc>
        <w:tc>
          <w:tcPr>
            <w:tcW w:w="1701" w:type="dxa"/>
            <w:gridSpan w:val="2"/>
            <w:shd w:val="clear" w:color="auto" w:fill="auto"/>
            <w:vAlign w:val="center"/>
          </w:tcPr>
          <w:p w:rsidR="00E62293" w:rsidRDefault="00596B02">
            <w:pPr>
              <w:jc w:val="center"/>
              <w:rPr>
                <w:rFonts w:ascii="宋体" w:hAnsi="宋体"/>
                <w:sz w:val="24"/>
              </w:rPr>
            </w:pPr>
            <w:r>
              <w:rPr>
                <w:rFonts w:ascii="宋体" w:hAnsi="宋体" w:hint="eastAsia"/>
                <w:sz w:val="24"/>
              </w:rPr>
              <w:t>耐磨类产品</w:t>
            </w:r>
          </w:p>
        </w:tc>
        <w:tc>
          <w:tcPr>
            <w:tcW w:w="1787" w:type="dxa"/>
            <w:gridSpan w:val="2"/>
            <w:shd w:val="clear" w:color="auto" w:fill="auto"/>
            <w:vAlign w:val="center"/>
          </w:tcPr>
          <w:p w:rsidR="00E62293" w:rsidRDefault="00596B02">
            <w:pPr>
              <w:jc w:val="center"/>
              <w:rPr>
                <w:rFonts w:ascii="宋体" w:hAnsi="宋体"/>
                <w:sz w:val="24"/>
              </w:rPr>
            </w:pPr>
            <w:r>
              <w:rPr>
                <w:rFonts w:ascii="宋体" w:hAnsi="宋体" w:hint="eastAsia"/>
                <w:sz w:val="24"/>
              </w:rPr>
              <w:t>地矿类产品</w:t>
            </w:r>
          </w:p>
        </w:tc>
        <w:tc>
          <w:tcPr>
            <w:tcW w:w="1860" w:type="dxa"/>
            <w:gridSpan w:val="2"/>
            <w:shd w:val="clear" w:color="auto" w:fill="auto"/>
            <w:vAlign w:val="center"/>
          </w:tcPr>
          <w:p w:rsidR="00E62293" w:rsidRDefault="00596B02">
            <w:pPr>
              <w:jc w:val="center"/>
              <w:rPr>
                <w:rFonts w:ascii="宋体" w:hAnsi="宋体"/>
                <w:sz w:val="24"/>
              </w:rPr>
            </w:pPr>
            <w:r>
              <w:rPr>
                <w:rFonts w:ascii="宋体" w:hAnsi="宋体" w:hint="eastAsia"/>
                <w:sz w:val="24"/>
              </w:rPr>
              <w:t>耐磨类产品</w:t>
            </w:r>
          </w:p>
        </w:tc>
      </w:tr>
      <w:tr w:rsidR="00E62293">
        <w:trPr>
          <w:trHeight w:val="497"/>
        </w:trPr>
        <w:tc>
          <w:tcPr>
            <w:tcW w:w="2235" w:type="dxa"/>
            <w:vMerge/>
            <w:shd w:val="clear" w:color="auto" w:fill="auto"/>
            <w:vAlign w:val="center"/>
          </w:tcPr>
          <w:p w:rsidR="00E62293" w:rsidRDefault="00E62293">
            <w:pPr>
              <w:spacing w:line="560" w:lineRule="exact"/>
              <w:jc w:val="center"/>
              <w:rPr>
                <w:rFonts w:ascii="宋体" w:hAnsi="宋体"/>
                <w:sz w:val="24"/>
              </w:rPr>
            </w:pPr>
          </w:p>
        </w:tc>
        <w:tc>
          <w:tcPr>
            <w:tcW w:w="935" w:type="dxa"/>
            <w:shd w:val="clear" w:color="auto" w:fill="auto"/>
            <w:vAlign w:val="center"/>
          </w:tcPr>
          <w:p w:rsidR="00E62293" w:rsidRDefault="00596B02">
            <w:pPr>
              <w:jc w:val="center"/>
              <w:rPr>
                <w:rFonts w:ascii="宋体" w:hAnsi="宋体"/>
                <w:sz w:val="24"/>
              </w:rPr>
            </w:pPr>
            <w:proofErr w:type="gramStart"/>
            <w:r>
              <w:rPr>
                <w:rFonts w:ascii="宋体" w:hAnsi="宋体" w:hint="eastAsia"/>
                <w:sz w:val="24"/>
              </w:rPr>
              <w:t>含深加</w:t>
            </w:r>
            <w:proofErr w:type="gramEnd"/>
          </w:p>
        </w:tc>
        <w:tc>
          <w:tcPr>
            <w:tcW w:w="907" w:type="dxa"/>
            <w:shd w:val="clear" w:color="auto" w:fill="auto"/>
            <w:vAlign w:val="center"/>
          </w:tcPr>
          <w:p w:rsidR="00E62293" w:rsidRDefault="00596B02">
            <w:pPr>
              <w:jc w:val="center"/>
              <w:rPr>
                <w:rFonts w:ascii="宋体" w:hAnsi="宋体"/>
                <w:sz w:val="24"/>
              </w:rPr>
            </w:pPr>
            <w:r>
              <w:rPr>
                <w:rFonts w:ascii="宋体" w:hAnsi="宋体" w:hint="eastAsia"/>
                <w:sz w:val="24"/>
              </w:rPr>
              <w:t>不含深加</w:t>
            </w:r>
          </w:p>
        </w:tc>
        <w:tc>
          <w:tcPr>
            <w:tcW w:w="923" w:type="dxa"/>
            <w:shd w:val="clear" w:color="auto" w:fill="auto"/>
            <w:vAlign w:val="center"/>
          </w:tcPr>
          <w:p w:rsidR="00E62293" w:rsidRDefault="00596B02">
            <w:pPr>
              <w:jc w:val="center"/>
              <w:rPr>
                <w:rFonts w:ascii="宋体" w:hAnsi="宋体"/>
                <w:sz w:val="24"/>
              </w:rPr>
            </w:pPr>
            <w:proofErr w:type="gramStart"/>
            <w:r>
              <w:rPr>
                <w:rFonts w:ascii="宋体" w:hAnsi="宋体" w:hint="eastAsia"/>
                <w:sz w:val="24"/>
              </w:rPr>
              <w:t>含深加</w:t>
            </w:r>
            <w:proofErr w:type="gramEnd"/>
          </w:p>
        </w:tc>
        <w:tc>
          <w:tcPr>
            <w:tcW w:w="778" w:type="dxa"/>
            <w:shd w:val="clear" w:color="auto" w:fill="auto"/>
            <w:vAlign w:val="center"/>
          </w:tcPr>
          <w:p w:rsidR="00E62293" w:rsidRDefault="00596B02">
            <w:pPr>
              <w:jc w:val="center"/>
              <w:rPr>
                <w:rFonts w:ascii="宋体" w:hAnsi="宋体"/>
                <w:sz w:val="24"/>
              </w:rPr>
            </w:pPr>
            <w:r>
              <w:rPr>
                <w:rFonts w:ascii="宋体" w:hAnsi="宋体" w:hint="eastAsia"/>
                <w:sz w:val="24"/>
              </w:rPr>
              <w:t>不含深加</w:t>
            </w:r>
          </w:p>
        </w:tc>
        <w:tc>
          <w:tcPr>
            <w:tcW w:w="932" w:type="dxa"/>
            <w:shd w:val="clear" w:color="auto" w:fill="auto"/>
            <w:vAlign w:val="center"/>
          </w:tcPr>
          <w:p w:rsidR="00E62293" w:rsidRDefault="00596B02">
            <w:pPr>
              <w:jc w:val="center"/>
              <w:rPr>
                <w:rFonts w:ascii="宋体" w:hAnsi="宋体"/>
                <w:sz w:val="24"/>
              </w:rPr>
            </w:pPr>
            <w:proofErr w:type="gramStart"/>
            <w:r>
              <w:rPr>
                <w:rFonts w:ascii="宋体" w:hAnsi="宋体" w:hint="eastAsia"/>
                <w:sz w:val="24"/>
              </w:rPr>
              <w:t>含深加</w:t>
            </w:r>
            <w:proofErr w:type="gramEnd"/>
          </w:p>
        </w:tc>
        <w:tc>
          <w:tcPr>
            <w:tcW w:w="855" w:type="dxa"/>
            <w:shd w:val="clear" w:color="auto" w:fill="auto"/>
            <w:vAlign w:val="center"/>
          </w:tcPr>
          <w:p w:rsidR="00E62293" w:rsidRDefault="00596B02">
            <w:pPr>
              <w:jc w:val="center"/>
              <w:rPr>
                <w:rFonts w:ascii="宋体" w:hAnsi="宋体"/>
                <w:sz w:val="24"/>
              </w:rPr>
            </w:pPr>
            <w:r>
              <w:rPr>
                <w:rFonts w:ascii="宋体" w:hAnsi="宋体" w:hint="eastAsia"/>
                <w:sz w:val="24"/>
              </w:rPr>
              <w:t>不含深加</w:t>
            </w:r>
          </w:p>
        </w:tc>
        <w:tc>
          <w:tcPr>
            <w:tcW w:w="930" w:type="dxa"/>
            <w:shd w:val="clear" w:color="auto" w:fill="auto"/>
            <w:vAlign w:val="center"/>
          </w:tcPr>
          <w:p w:rsidR="00E62293" w:rsidRDefault="00596B02">
            <w:pPr>
              <w:jc w:val="center"/>
              <w:rPr>
                <w:rFonts w:ascii="宋体" w:hAnsi="宋体"/>
                <w:sz w:val="24"/>
              </w:rPr>
            </w:pPr>
            <w:proofErr w:type="gramStart"/>
            <w:r>
              <w:rPr>
                <w:rFonts w:ascii="宋体" w:hAnsi="宋体" w:hint="eastAsia"/>
                <w:sz w:val="24"/>
              </w:rPr>
              <w:t>含深加</w:t>
            </w:r>
            <w:proofErr w:type="gramEnd"/>
          </w:p>
        </w:tc>
        <w:tc>
          <w:tcPr>
            <w:tcW w:w="930" w:type="dxa"/>
            <w:shd w:val="clear" w:color="auto" w:fill="auto"/>
            <w:vAlign w:val="center"/>
          </w:tcPr>
          <w:p w:rsidR="00E62293" w:rsidRDefault="00596B02">
            <w:pPr>
              <w:jc w:val="center"/>
              <w:rPr>
                <w:rFonts w:ascii="宋体" w:hAnsi="宋体"/>
                <w:sz w:val="24"/>
              </w:rPr>
            </w:pPr>
            <w:r>
              <w:rPr>
                <w:rFonts w:ascii="宋体" w:hAnsi="宋体" w:hint="eastAsia"/>
                <w:sz w:val="24"/>
              </w:rPr>
              <w:t>不含深加</w:t>
            </w:r>
          </w:p>
        </w:tc>
      </w:tr>
      <w:tr w:rsidR="00E62293">
        <w:trPr>
          <w:trHeight w:val="741"/>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株洲硬质合金集团</w:t>
            </w:r>
          </w:p>
          <w:p w:rsidR="00E62293" w:rsidRDefault="00596B02">
            <w:pPr>
              <w:jc w:val="center"/>
              <w:rPr>
                <w:rFonts w:ascii="宋体" w:hAnsi="宋体"/>
                <w:sz w:val="24"/>
              </w:rPr>
            </w:pPr>
            <w:r>
              <w:rPr>
                <w:rFonts w:ascii="宋体" w:hAnsi="宋体" w:hint="eastAsia"/>
                <w:sz w:val="24"/>
              </w:rPr>
              <w:t>有限公司</w:t>
            </w:r>
          </w:p>
        </w:tc>
        <w:tc>
          <w:tcPr>
            <w:tcW w:w="935"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700</w:t>
            </w:r>
          </w:p>
        </w:tc>
        <w:tc>
          <w:tcPr>
            <w:tcW w:w="907"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620</w:t>
            </w:r>
          </w:p>
        </w:tc>
        <w:tc>
          <w:tcPr>
            <w:tcW w:w="923"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1222</w:t>
            </w:r>
          </w:p>
        </w:tc>
        <w:tc>
          <w:tcPr>
            <w:tcW w:w="778"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1063</w:t>
            </w:r>
          </w:p>
        </w:tc>
        <w:tc>
          <w:tcPr>
            <w:tcW w:w="932"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643</w:t>
            </w:r>
          </w:p>
        </w:tc>
        <w:tc>
          <w:tcPr>
            <w:tcW w:w="855"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570</w:t>
            </w: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1130</w:t>
            </w: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983</w:t>
            </w:r>
          </w:p>
        </w:tc>
      </w:tr>
      <w:tr w:rsidR="00E62293">
        <w:trPr>
          <w:trHeight w:val="694"/>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株洲肯特硬质合金</w:t>
            </w:r>
          </w:p>
          <w:p w:rsidR="00E62293" w:rsidRDefault="00596B02">
            <w:pPr>
              <w:jc w:val="center"/>
              <w:rPr>
                <w:rFonts w:ascii="宋体" w:hAnsi="宋体"/>
                <w:sz w:val="24"/>
              </w:rPr>
            </w:pPr>
            <w:r>
              <w:rPr>
                <w:rFonts w:ascii="宋体" w:hAnsi="宋体" w:hint="eastAsia"/>
                <w:sz w:val="24"/>
              </w:rPr>
              <w:t>股份有限公司</w:t>
            </w:r>
          </w:p>
        </w:tc>
        <w:tc>
          <w:tcPr>
            <w:tcW w:w="935"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771</w:t>
            </w:r>
          </w:p>
        </w:tc>
        <w:tc>
          <w:tcPr>
            <w:tcW w:w="907"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750</w:t>
            </w:r>
          </w:p>
        </w:tc>
        <w:tc>
          <w:tcPr>
            <w:tcW w:w="923"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w:t>
            </w:r>
          </w:p>
        </w:tc>
        <w:tc>
          <w:tcPr>
            <w:tcW w:w="778"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w:t>
            </w:r>
          </w:p>
        </w:tc>
        <w:tc>
          <w:tcPr>
            <w:tcW w:w="932"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840</w:t>
            </w:r>
          </w:p>
        </w:tc>
        <w:tc>
          <w:tcPr>
            <w:tcW w:w="855"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780</w:t>
            </w: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w:t>
            </w: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w:t>
            </w:r>
          </w:p>
        </w:tc>
      </w:tr>
      <w:tr w:rsidR="00E62293">
        <w:trPr>
          <w:trHeight w:val="704"/>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株洲精工硬质合金有限公司</w:t>
            </w:r>
          </w:p>
        </w:tc>
        <w:tc>
          <w:tcPr>
            <w:tcW w:w="935"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744</w:t>
            </w:r>
          </w:p>
        </w:tc>
        <w:tc>
          <w:tcPr>
            <w:tcW w:w="907" w:type="dxa"/>
            <w:shd w:val="clear" w:color="auto" w:fill="auto"/>
            <w:vAlign w:val="center"/>
          </w:tcPr>
          <w:p w:rsidR="00E62293" w:rsidRDefault="00E62293">
            <w:pPr>
              <w:spacing w:line="560" w:lineRule="exact"/>
              <w:jc w:val="center"/>
              <w:rPr>
                <w:rFonts w:ascii="宋体" w:hAnsi="宋体"/>
                <w:sz w:val="24"/>
              </w:rPr>
            </w:pPr>
          </w:p>
        </w:tc>
        <w:tc>
          <w:tcPr>
            <w:tcW w:w="923"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w:t>
            </w:r>
          </w:p>
        </w:tc>
        <w:tc>
          <w:tcPr>
            <w:tcW w:w="778"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w:t>
            </w:r>
          </w:p>
        </w:tc>
        <w:tc>
          <w:tcPr>
            <w:tcW w:w="932"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687</w:t>
            </w:r>
          </w:p>
        </w:tc>
        <w:tc>
          <w:tcPr>
            <w:tcW w:w="855" w:type="dxa"/>
            <w:shd w:val="clear" w:color="auto" w:fill="auto"/>
            <w:vAlign w:val="center"/>
          </w:tcPr>
          <w:p w:rsidR="00E62293" w:rsidRDefault="00E62293">
            <w:pPr>
              <w:spacing w:line="560" w:lineRule="exact"/>
              <w:jc w:val="center"/>
              <w:rPr>
                <w:rFonts w:ascii="宋体" w:hAnsi="宋体"/>
                <w:sz w:val="24"/>
              </w:rPr>
            </w:pP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w:t>
            </w: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w:t>
            </w:r>
          </w:p>
        </w:tc>
      </w:tr>
      <w:tr w:rsidR="00E62293">
        <w:trPr>
          <w:trHeight w:val="687"/>
        </w:trPr>
        <w:tc>
          <w:tcPr>
            <w:tcW w:w="2235" w:type="dxa"/>
            <w:shd w:val="clear" w:color="auto" w:fill="auto"/>
            <w:vAlign w:val="center"/>
          </w:tcPr>
          <w:p w:rsidR="00E62293" w:rsidRDefault="00596B02">
            <w:pPr>
              <w:jc w:val="center"/>
              <w:rPr>
                <w:rFonts w:ascii="宋体" w:hAnsi="宋体"/>
                <w:sz w:val="24"/>
              </w:rPr>
            </w:pPr>
            <w:proofErr w:type="gramStart"/>
            <w:r>
              <w:rPr>
                <w:rFonts w:ascii="宋体" w:hAnsi="宋体" w:hint="eastAsia"/>
                <w:sz w:val="24"/>
              </w:rPr>
              <w:t>株洲金韦</w:t>
            </w:r>
            <w:proofErr w:type="gramEnd"/>
            <w:r>
              <w:rPr>
                <w:rFonts w:ascii="宋体" w:hAnsi="宋体" w:hint="eastAsia"/>
                <w:sz w:val="24"/>
              </w:rPr>
              <w:t>硬质合金</w:t>
            </w:r>
          </w:p>
          <w:p w:rsidR="00E62293" w:rsidRDefault="00596B02">
            <w:pPr>
              <w:jc w:val="center"/>
              <w:rPr>
                <w:rFonts w:ascii="宋体" w:hAnsi="宋体"/>
                <w:sz w:val="24"/>
              </w:rPr>
            </w:pPr>
            <w:r>
              <w:rPr>
                <w:rFonts w:ascii="宋体" w:hAnsi="宋体" w:hint="eastAsia"/>
                <w:sz w:val="24"/>
              </w:rPr>
              <w:t>有限公司</w:t>
            </w:r>
          </w:p>
        </w:tc>
        <w:tc>
          <w:tcPr>
            <w:tcW w:w="935"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763</w:t>
            </w:r>
          </w:p>
        </w:tc>
        <w:tc>
          <w:tcPr>
            <w:tcW w:w="907" w:type="dxa"/>
            <w:shd w:val="clear" w:color="auto" w:fill="auto"/>
            <w:vAlign w:val="center"/>
          </w:tcPr>
          <w:p w:rsidR="00E62293" w:rsidRDefault="00E62293">
            <w:pPr>
              <w:spacing w:line="560" w:lineRule="exact"/>
              <w:jc w:val="center"/>
              <w:rPr>
                <w:rFonts w:ascii="宋体" w:hAnsi="宋体"/>
                <w:sz w:val="24"/>
              </w:rPr>
            </w:pPr>
          </w:p>
        </w:tc>
        <w:tc>
          <w:tcPr>
            <w:tcW w:w="923"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1161</w:t>
            </w:r>
          </w:p>
        </w:tc>
        <w:tc>
          <w:tcPr>
            <w:tcW w:w="778" w:type="dxa"/>
            <w:shd w:val="clear" w:color="auto" w:fill="auto"/>
            <w:vAlign w:val="center"/>
          </w:tcPr>
          <w:p w:rsidR="00E62293" w:rsidRDefault="00E62293">
            <w:pPr>
              <w:spacing w:line="560" w:lineRule="exact"/>
              <w:jc w:val="center"/>
              <w:rPr>
                <w:rFonts w:ascii="宋体" w:hAnsi="宋体"/>
                <w:sz w:val="24"/>
              </w:rPr>
            </w:pPr>
          </w:p>
        </w:tc>
        <w:tc>
          <w:tcPr>
            <w:tcW w:w="932"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633</w:t>
            </w:r>
          </w:p>
        </w:tc>
        <w:tc>
          <w:tcPr>
            <w:tcW w:w="855" w:type="dxa"/>
            <w:shd w:val="clear" w:color="auto" w:fill="auto"/>
            <w:vAlign w:val="center"/>
          </w:tcPr>
          <w:p w:rsidR="00E62293" w:rsidRDefault="00E62293">
            <w:pPr>
              <w:spacing w:line="560" w:lineRule="exact"/>
              <w:jc w:val="center"/>
              <w:rPr>
                <w:rFonts w:ascii="宋体" w:hAnsi="宋体"/>
                <w:sz w:val="24"/>
              </w:rPr>
            </w:pP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hint="eastAsia"/>
                <w:sz w:val="24"/>
              </w:rPr>
              <w:t>1252</w:t>
            </w:r>
          </w:p>
        </w:tc>
        <w:tc>
          <w:tcPr>
            <w:tcW w:w="930" w:type="dxa"/>
            <w:shd w:val="clear" w:color="auto" w:fill="auto"/>
            <w:vAlign w:val="center"/>
          </w:tcPr>
          <w:p w:rsidR="00E62293" w:rsidRDefault="00E62293">
            <w:pPr>
              <w:spacing w:line="560" w:lineRule="exact"/>
              <w:jc w:val="center"/>
              <w:rPr>
                <w:rFonts w:ascii="宋体" w:hAnsi="宋体"/>
                <w:sz w:val="24"/>
              </w:rPr>
            </w:pPr>
          </w:p>
        </w:tc>
      </w:tr>
      <w:tr w:rsidR="00E62293">
        <w:trPr>
          <w:trHeight w:val="710"/>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株洲西迪技术股份</w:t>
            </w:r>
          </w:p>
          <w:p w:rsidR="00E62293" w:rsidRDefault="00596B02">
            <w:pPr>
              <w:jc w:val="center"/>
              <w:rPr>
                <w:rFonts w:ascii="宋体" w:hAnsi="宋体"/>
                <w:sz w:val="24"/>
              </w:rPr>
            </w:pPr>
            <w:r>
              <w:rPr>
                <w:rFonts w:ascii="宋体" w:hAnsi="宋体" w:hint="eastAsia"/>
                <w:sz w:val="24"/>
              </w:rPr>
              <w:t>有限公司</w:t>
            </w:r>
          </w:p>
        </w:tc>
        <w:tc>
          <w:tcPr>
            <w:tcW w:w="935"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w:t>
            </w:r>
          </w:p>
        </w:tc>
        <w:tc>
          <w:tcPr>
            <w:tcW w:w="907" w:type="dxa"/>
            <w:shd w:val="clear" w:color="auto" w:fill="auto"/>
            <w:vAlign w:val="center"/>
          </w:tcPr>
          <w:p w:rsidR="00E62293" w:rsidRDefault="00E62293">
            <w:pPr>
              <w:spacing w:line="560" w:lineRule="exact"/>
              <w:jc w:val="center"/>
              <w:rPr>
                <w:rFonts w:ascii="宋体" w:hAnsi="宋体"/>
                <w:sz w:val="24"/>
              </w:rPr>
            </w:pPr>
          </w:p>
        </w:tc>
        <w:tc>
          <w:tcPr>
            <w:tcW w:w="923"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1020</w:t>
            </w:r>
          </w:p>
        </w:tc>
        <w:tc>
          <w:tcPr>
            <w:tcW w:w="778" w:type="dxa"/>
            <w:shd w:val="clear" w:color="auto" w:fill="auto"/>
            <w:vAlign w:val="center"/>
          </w:tcPr>
          <w:p w:rsidR="00E62293" w:rsidRDefault="00E62293">
            <w:pPr>
              <w:spacing w:line="560" w:lineRule="exact"/>
              <w:jc w:val="center"/>
              <w:rPr>
                <w:rFonts w:ascii="宋体" w:hAnsi="宋体"/>
                <w:sz w:val="24"/>
              </w:rPr>
            </w:pPr>
          </w:p>
        </w:tc>
        <w:tc>
          <w:tcPr>
            <w:tcW w:w="932"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w:t>
            </w:r>
          </w:p>
        </w:tc>
        <w:tc>
          <w:tcPr>
            <w:tcW w:w="855" w:type="dxa"/>
            <w:shd w:val="clear" w:color="auto" w:fill="auto"/>
            <w:vAlign w:val="center"/>
          </w:tcPr>
          <w:p w:rsidR="00E62293" w:rsidRDefault="00E62293">
            <w:pPr>
              <w:spacing w:line="560" w:lineRule="exact"/>
              <w:jc w:val="center"/>
              <w:rPr>
                <w:rFonts w:ascii="宋体" w:hAnsi="宋体"/>
                <w:sz w:val="24"/>
              </w:rPr>
            </w:pPr>
          </w:p>
        </w:tc>
        <w:tc>
          <w:tcPr>
            <w:tcW w:w="930" w:type="dxa"/>
            <w:shd w:val="clear" w:color="auto" w:fill="auto"/>
            <w:vAlign w:val="center"/>
          </w:tcPr>
          <w:p w:rsidR="00E62293" w:rsidRDefault="00596B02">
            <w:pPr>
              <w:spacing w:line="560" w:lineRule="exact"/>
              <w:jc w:val="center"/>
              <w:rPr>
                <w:rFonts w:ascii="宋体" w:hAnsi="宋体"/>
                <w:sz w:val="24"/>
              </w:rPr>
            </w:pPr>
            <w:r>
              <w:rPr>
                <w:rFonts w:ascii="宋体" w:hAnsi="宋体"/>
                <w:sz w:val="24"/>
              </w:rPr>
              <w:t>1033</w:t>
            </w:r>
          </w:p>
        </w:tc>
        <w:tc>
          <w:tcPr>
            <w:tcW w:w="930" w:type="dxa"/>
            <w:shd w:val="clear" w:color="auto" w:fill="auto"/>
            <w:vAlign w:val="center"/>
          </w:tcPr>
          <w:p w:rsidR="00E62293" w:rsidRDefault="00E62293">
            <w:pPr>
              <w:spacing w:line="560" w:lineRule="exact"/>
              <w:jc w:val="center"/>
              <w:rPr>
                <w:rFonts w:ascii="宋体" w:hAnsi="宋体"/>
                <w:sz w:val="24"/>
              </w:rPr>
            </w:pPr>
          </w:p>
        </w:tc>
      </w:tr>
      <w:tr w:rsidR="00E62293">
        <w:trPr>
          <w:trHeight w:val="692"/>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自贡硬质合金有限</w:t>
            </w:r>
          </w:p>
          <w:p w:rsidR="00E62293" w:rsidRDefault="00596B02">
            <w:pPr>
              <w:jc w:val="center"/>
              <w:rPr>
                <w:rFonts w:ascii="宋体" w:hAnsi="宋体"/>
                <w:sz w:val="24"/>
              </w:rPr>
            </w:pPr>
            <w:r>
              <w:rPr>
                <w:rFonts w:ascii="宋体" w:hAnsi="宋体" w:hint="eastAsia"/>
                <w:sz w:val="24"/>
              </w:rPr>
              <w:t>责任公司</w:t>
            </w:r>
          </w:p>
        </w:tc>
        <w:tc>
          <w:tcPr>
            <w:tcW w:w="935"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658</w:t>
            </w:r>
          </w:p>
        </w:tc>
        <w:tc>
          <w:tcPr>
            <w:tcW w:w="907" w:type="dxa"/>
            <w:shd w:val="clear" w:color="auto" w:fill="auto"/>
            <w:vAlign w:val="center"/>
          </w:tcPr>
          <w:p w:rsidR="00E62293" w:rsidRDefault="00E62293">
            <w:pPr>
              <w:spacing w:line="560" w:lineRule="exact"/>
              <w:jc w:val="center"/>
              <w:rPr>
                <w:rFonts w:ascii="宋体" w:hAnsi="宋体"/>
                <w:color w:val="000000"/>
                <w:sz w:val="24"/>
              </w:rPr>
            </w:pPr>
          </w:p>
        </w:tc>
        <w:tc>
          <w:tcPr>
            <w:tcW w:w="923" w:type="dxa"/>
            <w:shd w:val="clear" w:color="auto" w:fill="auto"/>
            <w:vAlign w:val="center"/>
          </w:tcPr>
          <w:p w:rsidR="00E62293" w:rsidRDefault="00E62293">
            <w:pPr>
              <w:spacing w:line="560" w:lineRule="exact"/>
              <w:jc w:val="center"/>
              <w:rPr>
                <w:rFonts w:ascii="宋体" w:hAnsi="宋体"/>
                <w:color w:val="000000"/>
                <w:sz w:val="24"/>
              </w:rPr>
            </w:pPr>
          </w:p>
        </w:tc>
        <w:tc>
          <w:tcPr>
            <w:tcW w:w="778"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1321</w:t>
            </w:r>
          </w:p>
        </w:tc>
        <w:tc>
          <w:tcPr>
            <w:tcW w:w="932"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569</w:t>
            </w:r>
          </w:p>
        </w:tc>
        <w:tc>
          <w:tcPr>
            <w:tcW w:w="855" w:type="dxa"/>
            <w:shd w:val="clear" w:color="auto" w:fill="auto"/>
            <w:vAlign w:val="center"/>
          </w:tcPr>
          <w:p w:rsidR="00E62293" w:rsidRDefault="00E62293">
            <w:pPr>
              <w:spacing w:line="560" w:lineRule="exact"/>
              <w:jc w:val="center"/>
              <w:rPr>
                <w:rFonts w:ascii="宋体" w:hAnsi="宋体"/>
                <w:color w:val="000000"/>
                <w:sz w:val="24"/>
              </w:rPr>
            </w:pPr>
          </w:p>
        </w:tc>
        <w:tc>
          <w:tcPr>
            <w:tcW w:w="930" w:type="dxa"/>
            <w:shd w:val="clear" w:color="auto" w:fill="auto"/>
            <w:vAlign w:val="center"/>
          </w:tcPr>
          <w:p w:rsidR="00E62293" w:rsidRDefault="00E62293">
            <w:pPr>
              <w:spacing w:line="560" w:lineRule="exact"/>
              <w:jc w:val="center"/>
              <w:rPr>
                <w:rFonts w:ascii="宋体" w:hAnsi="宋体"/>
                <w:color w:val="000000"/>
                <w:sz w:val="24"/>
              </w:rPr>
            </w:pPr>
          </w:p>
        </w:tc>
        <w:tc>
          <w:tcPr>
            <w:tcW w:w="930"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1198</w:t>
            </w:r>
          </w:p>
        </w:tc>
      </w:tr>
      <w:tr w:rsidR="00E62293">
        <w:trPr>
          <w:trHeight w:val="702"/>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济南市冶金科学研究所有限责任公司</w:t>
            </w:r>
          </w:p>
        </w:tc>
        <w:tc>
          <w:tcPr>
            <w:tcW w:w="935"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838</w:t>
            </w:r>
          </w:p>
        </w:tc>
        <w:tc>
          <w:tcPr>
            <w:tcW w:w="907" w:type="dxa"/>
            <w:shd w:val="clear" w:color="auto" w:fill="auto"/>
            <w:vAlign w:val="center"/>
          </w:tcPr>
          <w:p w:rsidR="00E62293" w:rsidRDefault="00E62293">
            <w:pPr>
              <w:spacing w:line="560" w:lineRule="exact"/>
              <w:jc w:val="center"/>
              <w:rPr>
                <w:rFonts w:ascii="宋体" w:hAnsi="宋体"/>
                <w:color w:val="000000"/>
                <w:sz w:val="24"/>
              </w:rPr>
            </w:pPr>
          </w:p>
        </w:tc>
        <w:tc>
          <w:tcPr>
            <w:tcW w:w="923"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1218</w:t>
            </w:r>
          </w:p>
        </w:tc>
        <w:tc>
          <w:tcPr>
            <w:tcW w:w="778" w:type="dxa"/>
            <w:shd w:val="clear" w:color="auto" w:fill="auto"/>
            <w:vAlign w:val="center"/>
          </w:tcPr>
          <w:p w:rsidR="00E62293" w:rsidRDefault="00E62293">
            <w:pPr>
              <w:spacing w:line="560" w:lineRule="exact"/>
              <w:jc w:val="center"/>
              <w:rPr>
                <w:rFonts w:ascii="宋体" w:hAnsi="宋体"/>
                <w:color w:val="000000"/>
                <w:sz w:val="24"/>
              </w:rPr>
            </w:pPr>
          </w:p>
        </w:tc>
        <w:tc>
          <w:tcPr>
            <w:tcW w:w="932"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827</w:t>
            </w:r>
          </w:p>
        </w:tc>
        <w:tc>
          <w:tcPr>
            <w:tcW w:w="855" w:type="dxa"/>
            <w:shd w:val="clear" w:color="auto" w:fill="auto"/>
            <w:vAlign w:val="center"/>
          </w:tcPr>
          <w:p w:rsidR="00E62293" w:rsidRDefault="00E62293">
            <w:pPr>
              <w:spacing w:line="560" w:lineRule="exact"/>
              <w:jc w:val="center"/>
              <w:rPr>
                <w:rFonts w:ascii="宋体" w:hAnsi="宋体"/>
                <w:color w:val="000000"/>
                <w:sz w:val="24"/>
              </w:rPr>
            </w:pPr>
          </w:p>
        </w:tc>
        <w:tc>
          <w:tcPr>
            <w:tcW w:w="930"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1213</w:t>
            </w:r>
          </w:p>
        </w:tc>
        <w:tc>
          <w:tcPr>
            <w:tcW w:w="930" w:type="dxa"/>
            <w:shd w:val="clear" w:color="auto" w:fill="auto"/>
            <w:vAlign w:val="center"/>
          </w:tcPr>
          <w:p w:rsidR="00E62293" w:rsidRDefault="00E62293">
            <w:pPr>
              <w:spacing w:line="560" w:lineRule="exact"/>
              <w:jc w:val="center"/>
              <w:rPr>
                <w:rFonts w:ascii="宋体" w:hAnsi="宋体"/>
                <w:color w:val="000000"/>
                <w:sz w:val="24"/>
              </w:rPr>
            </w:pPr>
          </w:p>
        </w:tc>
      </w:tr>
      <w:tr w:rsidR="00E62293">
        <w:trPr>
          <w:trHeight w:val="685"/>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浙江德威硬质合金</w:t>
            </w:r>
          </w:p>
          <w:p w:rsidR="00E62293" w:rsidRDefault="00596B02">
            <w:pPr>
              <w:jc w:val="center"/>
              <w:rPr>
                <w:rFonts w:ascii="宋体" w:hAnsi="宋体"/>
                <w:sz w:val="24"/>
              </w:rPr>
            </w:pPr>
            <w:r>
              <w:rPr>
                <w:rFonts w:ascii="宋体" w:hAnsi="宋体" w:hint="eastAsia"/>
                <w:sz w:val="24"/>
              </w:rPr>
              <w:t>制造有限公司</w:t>
            </w:r>
          </w:p>
        </w:tc>
        <w:tc>
          <w:tcPr>
            <w:tcW w:w="935"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852</w:t>
            </w:r>
          </w:p>
        </w:tc>
        <w:tc>
          <w:tcPr>
            <w:tcW w:w="907" w:type="dxa"/>
            <w:shd w:val="clear" w:color="auto" w:fill="auto"/>
            <w:vAlign w:val="center"/>
          </w:tcPr>
          <w:p w:rsidR="00E62293" w:rsidRDefault="00E62293">
            <w:pPr>
              <w:spacing w:line="560" w:lineRule="exact"/>
              <w:jc w:val="center"/>
              <w:rPr>
                <w:rFonts w:ascii="宋体" w:hAnsi="宋体"/>
                <w:color w:val="000000"/>
                <w:sz w:val="24"/>
              </w:rPr>
            </w:pPr>
          </w:p>
        </w:tc>
        <w:tc>
          <w:tcPr>
            <w:tcW w:w="923"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1219</w:t>
            </w:r>
          </w:p>
        </w:tc>
        <w:tc>
          <w:tcPr>
            <w:tcW w:w="778" w:type="dxa"/>
            <w:shd w:val="clear" w:color="auto" w:fill="auto"/>
            <w:vAlign w:val="center"/>
          </w:tcPr>
          <w:p w:rsidR="00E62293" w:rsidRDefault="00E62293">
            <w:pPr>
              <w:spacing w:line="560" w:lineRule="exact"/>
              <w:jc w:val="center"/>
              <w:rPr>
                <w:rFonts w:ascii="宋体" w:hAnsi="宋体"/>
                <w:color w:val="000000"/>
                <w:sz w:val="24"/>
              </w:rPr>
            </w:pPr>
          </w:p>
        </w:tc>
        <w:tc>
          <w:tcPr>
            <w:tcW w:w="932"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793</w:t>
            </w:r>
          </w:p>
        </w:tc>
        <w:tc>
          <w:tcPr>
            <w:tcW w:w="855" w:type="dxa"/>
            <w:shd w:val="clear" w:color="auto" w:fill="auto"/>
            <w:vAlign w:val="center"/>
          </w:tcPr>
          <w:p w:rsidR="00E62293" w:rsidRDefault="00E62293">
            <w:pPr>
              <w:spacing w:line="560" w:lineRule="exact"/>
              <w:jc w:val="center"/>
              <w:rPr>
                <w:rFonts w:ascii="宋体" w:hAnsi="宋体"/>
                <w:color w:val="000000"/>
                <w:sz w:val="24"/>
              </w:rPr>
            </w:pPr>
          </w:p>
        </w:tc>
        <w:tc>
          <w:tcPr>
            <w:tcW w:w="930"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1110</w:t>
            </w:r>
          </w:p>
        </w:tc>
        <w:tc>
          <w:tcPr>
            <w:tcW w:w="930" w:type="dxa"/>
            <w:shd w:val="clear" w:color="auto" w:fill="auto"/>
            <w:vAlign w:val="center"/>
          </w:tcPr>
          <w:p w:rsidR="00E62293" w:rsidRDefault="00E62293">
            <w:pPr>
              <w:spacing w:line="560" w:lineRule="exact"/>
              <w:jc w:val="center"/>
              <w:rPr>
                <w:rFonts w:ascii="宋体" w:hAnsi="宋体"/>
                <w:color w:val="000000"/>
                <w:sz w:val="24"/>
              </w:rPr>
            </w:pPr>
          </w:p>
        </w:tc>
      </w:tr>
      <w:tr w:rsidR="00E62293">
        <w:trPr>
          <w:trHeight w:val="690"/>
        </w:trPr>
        <w:tc>
          <w:tcPr>
            <w:tcW w:w="2235" w:type="dxa"/>
            <w:shd w:val="clear" w:color="auto" w:fill="auto"/>
            <w:vAlign w:val="center"/>
          </w:tcPr>
          <w:p w:rsidR="00E62293" w:rsidRDefault="00596B02">
            <w:pPr>
              <w:jc w:val="center"/>
              <w:rPr>
                <w:rFonts w:ascii="宋体" w:hAnsi="宋体"/>
                <w:sz w:val="24"/>
              </w:rPr>
            </w:pPr>
            <w:proofErr w:type="gramStart"/>
            <w:r>
              <w:rPr>
                <w:rFonts w:ascii="宋体" w:hAnsi="宋体" w:hint="eastAsia"/>
                <w:sz w:val="24"/>
              </w:rPr>
              <w:t>浙江恒成硬质合金</w:t>
            </w:r>
            <w:proofErr w:type="gramEnd"/>
          </w:p>
          <w:p w:rsidR="00E62293" w:rsidRDefault="00596B02">
            <w:pPr>
              <w:jc w:val="center"/>
              <w:rPr>
                <w:rFonts w:ascii="宋体" w:hAnsi="宋体"/>
                <w:sz w:val="24"/>
              </w:rPr>
            </w:pPr>
            <w:r>
              <w:rPr>
                <w:rFonts w:ascii="宋体" w:hAnsi="宋体" w:hint="eastAsia"/>
                <w:sz w:val="24"/>
              </w:rPr>
              <w:t>有限公司</w:t>
            </w:r>
          </w:p>
        </w:tc>
        <w:tc>
          <w:tcPr>
            <w:tcW w:w="935"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color w:val="000000"/>
                <w:sz w:val="24"/>
              </w:rPr>
              <w:t>——</w:t>
            </w:r>
          </w:p>
        </w:tc>
        <w:tc>
          <w:tcPr>
            <w:tcW w:w="907" w:type="dxa"/>
            <w:shd w:val="clear" w:color="auto" w:fill="auto"/>
            <w:vAlign w:val="center"/>
          </w:tcPr>
          <w:p w:rsidR="00E62293" w:rsidRDefault="00E62293">
            <w:pPr>
              <w:spacing w:line="560" w:lineRule="exact"/>
              <w:jc w:val="center"/>
              <w:rPr>
                <w:rFonts w:ascii="宋体" w:hAnsi="宋体"/>
                <w:color w:val="000000"/>
                <w:sz w:val="24"/>
              </w:rPr>
            </w:pPr>
          </w:p>
        </w:tc>
        <w:tc>
          <w:tcPr>
            <w:tcW w:w="923"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1240</w:t>
            </w:r>
          </w:p>
        </w:tc>
        <w:tc>
          <w:tcPr>
            <w:tcW w:w="778" w:type="dxa"/>
            <w:shd w:val="clear" w:color="auto" w:fill="auto"/>
            <w:vAlign w:val="center"/>
          </w:tcPr>
          <w:p w:rsidR="00E62293" w:rsidRDefault="00E62293">
            <w:pPr>
              <w:spacing w:line="560" w:lineRule="exact"/>
              <w:jc w:val="center"/>
              <w:rPr>
                <w:rFonts w:ascii="宋体" w:hAnsi="宋体"/>
                <w:color w:val="000000"/>
                <w:sz w:val="24"/>
              </w:rPr>
            </w:pPr>
          </w:p>
        </w:tc>
        <w:tc>
          <w:tcPr>
            <w:tcW w:w="932"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color w:val="000000"/>
                <w:sz w:val="24"/>
              </w:rPr>
              <w:t>——</w:t>
            </w:r>
          </w:p>
        </w:tc>
        <w:tc>
          <w:tcPr>
            <w:tcW w:w="855" w:type="dxa"/>
            <w:shd w:val="clear" w:color="auto" w:fill="auto"/>
            <w:vAlign w:val="center"/>
          </w:tcPr>
          <w:p w:rsidR="00E62293" w:rsidRDefault="00E62293">
            <w:pPr>
              <w:spacing w:line="560" w:lineRule="exact"/>
              <w:jc w:val="center"/>
              <w:rPr>
                <w:rFonts w:ascii="宋体" w:hAnsi="宋体"/>
                <w:color w:val="000000"/>
                <w:sz w:val="24"/>
              </w:rPr>
            </w:pPr>
          </w:p>
        </w:tc>
        <w:tc>
          <w:tcPr>
            <w:tcW w:w="930"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1070</w:t>
            </w:r>
          </w:p>
        </w:tc>
        <w:tc>
          <w:tcPr>
            <w:tcW w:w="930" w:type="dxa"/>
            <w:shd w:val="clear" w:color="auto" w:fill="auto"/>
            <w:vAlign w:val="center"/>
          </w:tcPr>
          <w:p w:rsidR="00E62293" w:rsidRDefault="00E62293">
            <w:pPr>
              <w:spacing w:line="560" w:lineRule="exact"/>
              <w:jc w:val="center"/>
              <w:rPr>
                <w:rFonts w:ascii="宋体" w:hAnsi="宋体"/>
                <w:color w:val="000000"/>
                <w:sz w:val="24"/>
              </w:rPr>
            </w:pPr>
          </w:p>
        </w:tc>
      </w:tr>
      <w:tr w:rsidR="00E62293">
        <w:trPr>
          <w:trHeight w:val="690"/>
        </w:trPr>
        <w:tc>
          <w:tcPr>
            <w:tcW w:w="2235" w:type="dxa"/>
            <w:shd w:val="clear" w:color="auto" w:fill="auto"/>
            <w:vAlign w:val="center"/>
          </w:tcPr>
          <w:p w:rsidR="00E62293" w:rsidRDefault="00596B02">
            <w:pPr>
              <w:jc w:val="center"/>
              <w:rPr>
                <w:rFonts w:ascii="宋体" w:hAnsi="宋体"/>
                <w:sz w:val="24"/>
              </w:rPr>
            </w:pPr>
            <w:r>
              <w:rPr>
                <w:rFonts w:ascii="宋体" w:hAnsi="宋体" w:hint="eastAsia"/>
                <w:sz w:val="24"/>
              </w:rPr>
              <w:t>平均值</w:t>
            </w:r>
          </w:p>
        </w:tc>
        <w:tc>
          <w:tcPr>
            <w:tcW w:w="940"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761</w:t>
            </w:r>
          </w:p>
        </w:tc>
        <w:tc>
          <w:tcPr>
            <w:tcW w:w="902" w:type="dxa"/>
            <w:shd w:val="clear" w:color="auto" w:fill="auto"/>
            <w:vAlign w:val="center"/>
          </w:tcPr>
          <w:p w:rsidR="00E62293" w:rsidRDefault="00E62293">
            <w:pPr>
              <w:spacing w:line="560" w:lineRule="exact"/>
              <w:jc w:val="center"/>
              <w:rPr>
                <w:rFonts w:ascii="宋体" w:hAnsi="宋体"/>
                <w:color w:val="000000"/>
                <w:sz w:val="24"/>
              </w:rPr>
            </w:pPr>
          </w:p>
        </w:tc>
        <w:tc>
          <w:tcPr>
            <w:tcW w:w="928"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1180</w:t>
            </w:r>
          </w:p>
        </w:tc>
        <w:tc>
          <w:tcPr>
            <w:tcW w:w="773" w:type="dxa"/>
            <w:shd w:val="clear" w:color="auto" w:fill="auto"/>
            <w:vAlign w:val="center"/>
          </w:tcPr>
          <w:p w:rsidR="00E62293" w:rsidRDefault="00E62293">
            <w:pPr>
              <w:spacing w:line="560" w:lineRule="exact"/>
              <w:jc w:val="center"/>
              <w:rPr>
                <w:rFonts w:ascii="宋体" w:hAnsi="宋体"/>
                <w:color w:val="000000"/>
                <w:sz w:val="24"/>
              </w:rPr>
            </w:pPr>
          </w:p>
        </w:tc>
        <w:tc>
          <w:tcPr>
            <w:tcW w:w="937"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713</w:t>
            </w:r>
          </w:p>
        </w:tc>
        <w:tc>
          <w:tcPr>
            <w:tcW w:w="850" w:type="dxa"/>
            <w:shd w:val="clear" w:color="auto" w:fill="auto"/>
            <w:vAlign w:val="center"/>
          </w:tcPr>
          <w:p w:rsidR="00E62293" w:rsidRDefault="00E62293">
            <w:pPr>
              <w:spacing w:line="560" w:lineRule="exact"/>
              <w:jc w:val="center"/>
              <w:rPr>
                <w:rFonts w:ascii="宋体" w:hAnsi="宋体"/>
                <w:color w:val="000000"/>
                <w:sz w:val="24"/>
              </w:rPr>
            </w:pPr>
          </w:p>
        </w:tc>
        <w:tc>
          <w:tcPr>
            <w:tcW w:w="935"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1135</w:t>
            </w:r>
          </w:p>
        </w:tc>
        <w:tc>
          <w:tcPr>
            <w:tcW w:w="925" w:type="dxa"/>
            <w:shd w:val="clear" w:color="auto" w:fill="auto"/>
            <w:vAlign w:val="center"/>
          </w:tcPr>
          <w:p w:rsidR="00E62293" w:rsidRDefault="00E62293">
            <w:pPr>
              <w:spacing w:line="560" w:lineRule="exact"/>
              <w:jc w:val="center"/>
              <w:rPr>
                <w:rFonts w:ascii="宋体" w:hAnsi="宋体"/>
                <w:color w:val="000000"/>
                <w:sz w:val="24"/>
              </w:rPr>
            </w:pPr>
          </w:p>
        </w:tc>
      </w:tr>
      <w:tr w:rsidR="00E62293">
        <w:trPr>
          <w:trHeight w:val="690"/>
        </w:trPr>
        <w:tc>
          <w:tcPr>
            <w:tcW w:w="2235"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lastRenderedPageBreak/>
              <w:t>最低值</w:t>
            </w:r>
          </w:p>
        </w:tc>
        <w:tc>
          <w:tcPr>
            <w:tcW w:w="940"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658</w:t>
            </w:r>
          </w:p>
        </w:tc>
        <w:tc>
          <w:tcPr>
            <w:tcW w:w="902" w:type="dxa"/>
            <w:shd w:val="clear" w:color="auto" w:fill="auto"/>
            <w:vAlign w:val="center"/>
          </w:tcPr>
          <w:p w:rsidR="00E62293" w:rsidRDefault="00E62293">
            <w:pPr>
              <w:spacing w:line="560" w:lineRule="exact"/>
              <w:jc w:val="center"/>
              <w:rPr>
                <w:rFonts w:ascii="宋体" w:hAnsi="宋体"/>
                <w:color w:val="000000"/>
                <w:sz w:val="24"/>
              </w:rPr>
            </w:pPr>
          </w:p>
        </w:tc>
        <w:tc>
          <w:tcPr>
            <w:tcW w:w="928"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1020</w:t>
            </w:r>
          </w:p>
        </w:tc>
        <w:tc>
          <w:tcPr>
            <w:tcW w:w="773" w:type="dxa"/>
            <w:shd w:val="clear" w:color="auto" w:fill="auto"/>
            <w:vAlign w:val="center"/>
          </w:tcPr>
          <w:p w:rsidR="00E62293" w:rsidRDefault="00E62293">
            <w:pPr>
              <w:spacing w:line="560" w:lineRule="exact"/>
              <w:jc w:val="center"/>
              <w:rPr>
                <w:rFonts w:ascii="宋体" w:hAnsi="宋体"/>
                <w:color w:val="000000"/>
                <w:sz w:val="24"/>
              </w:rPr>
            </w:pPr>
          </w:p>
        </w:tc>
        <w:tc>
          <w:tcPr>
            <w:tcW w:w="937"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569</w:t>
            </w:r>
          </w:p>
        </w:tc>
        <w:tc>
          <w:tcPr>
            <w:tcW w:w="850" w:type="dxa"/>
            <w:shd w:val="clear" w:color="auto" w:fill="auto"/>
            <w:vAlign w:val="center"/>
          </w:tcPr>
          <w:p w:rsidR="00E62293" w:rsidRDefault="00E62293">
            <w:pPr>
              <w:spacing w:line="560" w:lineRule="exact"/>
              <w:jc w:val="center"/>
              <w:rPr>
                <w:rFonts w:ascii="宋体" w:hAnsi="宋体"/>
                <w:color w:val="000000"/>
                <w:sz w:val="24"/>
              </w:rPr>
            </w:pPr>
          </w:p>
        </w:tc>
        <w:tc>
          <w:tcPr>
            <w:tcW w:w="935"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1033</w:t>
            </w:r>
          </w:p>
        </w:tc>
        <w:tc>
          <w:tcPr>
            <w:tcW w:w="925" w:type="dxa"/>
            <w:shd w:val="clear" w:color="auto" w:fill="auto"/>
            <w:vAlign w:val="center"/>
          </w:tcPr>
          <w:p w:rsidR="00E62293" w:rsidRDefault="00E62293">
            <w:pPr>
              <w:spacing w:line="560" w:lineRule="exact"/>
              <w:jc w:val="center"/>
              <w:rPr>
                <w:rFonts w:ascii="宋体" w:hAnsi="宋体"/>
                <w:color w:val="000000"/>
                <w:sz w:val="24"/>
              </w:rPr>
            </w:pPr>
          </w:p>
        </w:tc>
      </w:tr>
      <w:tr w:rsidR="00E62293">
        <w:trPr>
          <w:trHeight w:val="690"/>
        </w:trPr>
        <w:tc>
          <w:tcPr>
            <w:tcW w:w="2235" w:type="dxa"/>
            <w:shd w:val="clear" w:color="auto" w:fill="auto"/>
            <w:vAlign w:val="center"/>
          </w:tcPr>
          <w:p w:rsidR="00E62293" w:rsidRDefault="00596B02">
            <w:pPr>
              <w:spacing w:line="276" w:lineRule="auto"/>
              <w:jc w:val="center"/>
              <w:rPr>
                <w:rFonts w:ascii="宋体" w:hAnsi="宋体"/>
                <w:sz w:val="24"/>
              </w:rPr>
            </w:pPr>
            <w:r>
              <w:rPr>
                <w:rFonts w:ascii="宋体" w:hAnsi="宋体" w:hint="eastAsia"/>
                <w:sz w:val="24"/>
              </w:rPr>
              <w:t>最高值</w:t>
            </w:r>
          </w:p>
        </w:tc>
        <w:tc>
          <w:tcPr>
            <w:tcW w:w="940"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852</w:t>
            </w:r>
          </w:p>
        </w:tc>
        <w:tc>
          <w:tcPr>
            <w:tcW w:w="902" w:type="dxa"/>
            <w:shd w:val="clear" w:color="auto" w:fill="auto"/>
            <w:vAlign w:val="center"/>
          </w:tcPr>
          <w:p w:rsidR="00E62293" w:rsidRDefault="00E62293">
            <w:pPr>
              <w:spacing w:line="560" w:lineRule="exact"/>
              <w:jc w:val="center"/>
              <w:rPr>
                <w:rFonts w:ascii="宋体" w:hAnsi="宋体"/>
                <w:color w:val="000000"/>
                <w:sz w:val="24"/>
              </w:rPr>
            </w:pPr>
          </w:p>
        </w:tc>
        <w:tc>
          <w:tcPr>
            <w:tcW w:w="928"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1240</w:t>
            </w:r>
          </w:p>
        </w:tc>
        <w:tc>
          <w:tcPr>
            <w:tcW w:w="773" w:type="dxa"/>
            <w:shd w:val="clear" w:color="auto" w:fill="auto"/>
            <w:vAlign w:val="center"/>
          </w:tcPr>
          <w:p w:rsidR="00E62293" w:rsidRDefault="00E62293">
            <w:pPr>
              <w:spacing w:line="560" w:lineRule="exact"/>
              <w:jc w:val="center"/>
              <w:rPr>
                <w:rFonts w:ascii="宋体" w:hAnsi="宋体"/>
                <w:color w:val="000000"/>
                <w:sz w:val="24"/>
              </w:rPr>
            </w:pPr>
          </w:p>
        </w:tc>
        <w:tc>
          <w:tcPr>
            <w:tcW w:w="937"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840</w:t>
            </w:r>
          </w:p>
        </w:tc>
        <w:tc>
          <w:tcPr>
            <w:tcW w:w="850" w:type="dxa"/>
            <w:shd w:val="clear" w:color="auto" w:fill="auto"/>
            <w:vAlign w:val="center"/>
          </w:tcPr>
          <w:p w:rsidR="00E62293" w:rsidRDefault="00E62293">
            <w:pPr>
              <w:spacing w:line="560" w:lineRule="exact"/>
              <w:jc w:val="center"/>
              <w:rPr>
                <w:rFonts w:ascii="宋体" w:hAnsi="宋体"/>
                <w:color w:val="000000"/>
                <w:sz w:val="24"/>
              </w:rPr>
            </w:pPr>
          </w:p>
        </w:tc>
        <w:tc>
          <w:tcPr>
            <w:tcW w:w="935" w:type="dxa"/>
            <w:shd w:val="clear" w:color="auto" w:fill="auto"/>
            <w:vAlign w:val="center"/>
          </w:tcPr>
          <w:p w:rsidR="00E62293" w:rsidRDefault="00596B02">
            <w:pPr>
              <w:spacing w:line="560" w:lineRule="exact"/>
              <w:jc w:val="center"/>
              <w:rPr>
                <w:rFonts w:ascii="宋体" w:hAnsi="宋体"/>
                <w:color w:val="000000"/>
                <w:sz w:val="24"/>
              </w:rPr>
            </w:pPr>
            <w:r>
              <w:rPr>
                <w:rFonts w:ascii="宋体" w:hAnsi="宋体" w:hint="eastAsia"/>
                <w:color w:val="000000"/>
                <w:sz w:val="24"/>
              </w:rPr>
              <w:t>1252</w:t>
            </w:r>
          </w:p>
        </w:tc>
        <w:tc>
          <w:tcPr>
            <w:tcW w:w="925" w:type="dxa"/>
            <w:shd w:val="clear" w:color="auto" w:fill="auto"/>
            <w:vAlign w:val="center"/>
          </w:tcPr>
          <w:p w:rsidR="00E62293" w:rsidRDefault="00E62293">
            <w:pPr>
              <w:spacing w:line="560" w:lineRule="exact"/>
              <w:jc w:val="center"/>
              <w:rPr>
                <w:rFonts w:ascii="宋体" w:hAnsi="宋体"/>
                <w:color w:val="000000"/>
                <w:sz w:val="24"/>
              </w:rPr>
            </w:pPr>
          </w:p>
        </w:tc>
      </w:tr>
    </w:tbl>
    <w:p w:rsidR="00E62293" w:rsidRDefault="00596B02">
      <w:pPr>
        <w:spacing w:line="276" w:lineRule="auto"/>
        <w:ind w:firstLineChars="200" w:firstLine="560"/>
        <w:rPr>
          <w:rFonts w:ascii="宋体" w:hAnsi="宋体"/>
          <w:sz w:val="28"/>
          <w:szCs w:val="28"/>
        </w:rPr>
      </w:pPr>
      <w:r>
        <w:rPr>
          <w:rFonts w:ascii="宋体" w:hAnsi="宋体" w:hint="eastAsia"/>
          <w:sz w:val="28"/>
          <w:szCs w:val="28"/>
        </w:rPr>
        <w:t>3、根据所调查的各硬质合金生产厂家的实际生产状况，获得了湖南省及国内部分硬质合金生产企业能耗数据的较低值、</w:t>
      </w:r>
      <w:proofErr w:type="gramStart"/>
      <w:r>
        <w:rPr>
          <w:rFonts w:ascii="宋体" w:hAnsi="宋体" w:hint="eastAsia"/>
          <w:sz w:val="28"/>
          <w:szCs w:val="28"/>
        </w:rPr>
        <w:t>较高值</w:t>
      </w:r>
      <w:proofErr w:type="gramEnd"/>
      <w:r>
        <w:rPr>
          <w:rFonts w:ascii="宋体" w:hAnsi="宋体" w:hint="eastAsia"/>
          <w:sz w:val="28"/>
          <w:szCs w:val="28"/>
        </w:rPr>
        <w:t>和平均值。</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六、主要技术内容说明</w:t>
      </w:r>
    </w:p>
    <w:p w:rsidR="00E62293" w:rsidRDefault="00596B02" w:rsidP="00596B02">
      <w:pPr>
        <w:pStyle w:val="a8"/>
        <w:ind w:firstLine="560"/>
        <w:rPr>
          <w:rFonts w:hAnsi="宋体"/>
          <w:kern w:val="2"/>
          <w:sz w:val="28"/>
          <w:szCs w:val="28"/>
        </w:rPr>
      </w:pPr>
      <w:r>
        <w:rPr>
          <w:rFonts w:hAnsi="宋体" w:hint="eastAsia"/>
          <w:kern w:val="2"/>
          <w:sz w:val="28"/>
          <w:szCs w:val="28"/>
        </w:rPr>
        <w:t>本标准规定了硬质合金地矿和耐磨类单位产品能源消耗（以下简称“能耗”）的术语和定义、能耗限额等级、技术要求、能耗统计和计算方法及节能管理与措施。</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本标准从能耗统计范围、方法及计算方法，通过收集整理制定现有硬质合金地矿及耐磨类生产企业单位产品综合能耗限定值（3级）和建立新建硬质合金地矿及耐磨类生产企业单位产品综合能耗准入值（2级），提出节能管理与措施，确定现有硬质合金地矿及耐磨类生产企业应通过节能改造和加强能源管理达到的单位产品综合能耗先进值（1级）。</w:t>
      </w:r>
    </w:p>
    <w:p w:rsidR="00E62293" w:rsidRDefault="00596B02">
      <w:pPr>
        <w:spacing w:line="276" w:lineRule="auto"/>
        <w:ind w:firstLineChars="200" w:firstLine="560"/>
        <w:rPr>
          <w:rFonts w:ascii="黑体" w:eastAsia="黑体" w:hAnsi="黑体"/>
          <w:sz w:val="28"/>
          <w:szCs w:val="28"/>
        </w:rPr>
      </w:pPr>
      <w:r>
        <w:rPr>
          <w:rFonts w:ascii="黑体" w:eastAsia="黑体" w:hAnsi="黑体"/>
          <w:sz w:val="28"/>
          <w:szCs w:val="28"/>
        </w:rPr>
        <w:t>（一）框架结构</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1、标准类别与性质修改：根据国家政策，地方能耗标准采用推荐性类型。标准的实施，对于全省硬质合金生产企业改进和完善生产工艺流程、加强生产技术管理、提高能源利用效率和经济效益都将起到积极推动作用；将对新建硬质合金生产企业采用先进高效的设备和工艺技术具有约束和引导作用；将给政府对企业节能降耗的监管提供依据，对新建硬质合金生产企业的审批提供准入门槛标准。</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2、能耗限额等级划分：制定标准的能耗限额等级分为地矿类和耐磨类两个类别（其中</w:t>
      </w:r>
      <w:proofErr w:type="gramStart"/>
      <w:r>
        <w:rPr>
          <w:rFonts w:ascii="宋体" w:hAnsi="宋体" w:hint="eastAsia"/>
          <w:sz w:val="28"/>
          <w:szCs w:val="28"/>
        </w:rPr>
        <w:t>又分含深加工</w:t>
      </w:r>
      <w:proofErr w:type="gramEnd"/>
      <w:r>
        <w:rPr>
          <w:rFonts w:ascii="宋体" w:hAnsi="宋体" w:hint="eastAsia"/>
          <w:sz w:val="28"/>
          <w:szCs w:val="28"/>
        </w:rPr>
        <w:t>与不含深加工两类）及三个层次，三个层</w:t>
      </w:r>
      <w:r>
        <w:rPr>
          <w:rFonts w:ascii="宋体" w:hAnsi="宋体" w:hint="eastAsia"/>
          <w:sz w:val="28"/>
          <w:szCs w:val="28"/>
        </w:rPr>
        <w:lastRenderedPageBreak/>
        <w:t>次分别为3级（硬质合金单位产品综合能耗限定值）、2级（新建硬质合金单位产品综合能耗准入值）和1级（硬质合金单位产品综合能耗先进值）。能耗限额等级的确定依据对现有地矿和耐磨类生产企业近两年能耗调研数据，同时考虑抽样风险，基本原则按照平均值水平确定2级（新建或改扩建企业准入值），能耗高值水平确定3级（限定值），能耗低值水平确定1级（先进值）。</w:t>
      </w:r>
    </w:p>
    <w:p w:rsidR="00E62293" w:rsidRDefault="00596B02">
      <w:pPr>
        <w:spacing w:line="276" w:lineRule="auto"/>
        <w:ind w:firstLineChars="200" w:firstLine="560"/>
        <w:rPr>
          <w:rFonts w:ascii="宋体" w:hAnsi="宋体"/>
          <w:sz w:val="28"/>
          <w:szCs w:val="28"/>
        </w:rPr>
      </w:pPr>
      <w:r>
        <w:rPr>
          <w:rFonts w:ascii="宋体" w:hAnsi="宋体"/>
          <w:sz w:val="28"/>
          <w:szCs w:val="28"/>
        </w:rPr>
        <w:t>3</w:t>
      </w:r>
      <w:r>
        <w:rPr>
          <w:rFonts w:ascii="宋体" w:hAnsi="宋体" w:hint="eastAsia"/>
          <w:sz w:val="28"/>
          <w:szCs w:val="28"/>
        </w:rPr>
        <w:t>、适用范围：本标准适用于湖南省内现有地矿类和耐磨类硬质合金生产企业和新建硬质合金企业。</w:t>
      </w:r>
    </w:p>
    <w:p w:rsidR="00E62293" w:rsidRDefault="00596B02">
      <w:pPr>
        <w:spacing w:line="276" w:lineRule="auto"/>
        <w:ind w:firstLineChars="200" w:firstLine="560"/>
        <w:rPr>
          <w:rFonts w:ascii="黑体" w:eastAsia="黑体" w:hAnsi="黑体"/>
          <w:sz w:val="28"/>
          <w:szCs w:val="28"/>
        </w:rPr>
      </w:pPr>
      <w:r>
        <w:rPr>
          <w:rFonts w:ascii="黑体" w:eastAsia="黑体" w:hAnsi="黑体"/>
          <w:sz w:val="28"/>
          <w:szCs w:val="28"/>
        </w:rPr>
        <w:t>（二）标准主要内容说明</w:t>
      </w:r>
    </w:p>
    <w:p w:rsidR="00E62293" w:rsidRDefault="00596B02" w:rsidP="00596B02">
      <w:pPr>
        <w:pStyle w:val="a8"/>
        <w:ind w:firstLine="560"/>
        <w:rPr>
          <w:rFonts w:hAnsi="宋体"/>
          <w:kern w:val="2"/>
          <w:sz w:val="28"/>
          <w:szCs w:val="28"/>
        </w:rPr>
      </w:pPr>
      <w:r>
        <w:rPr>
          <w:rFonts w:hAnsi="宋体"/>
          <w:sz w:val="28"/>
          <w:szCs w:val="28"/>
        </w:rPr>
        <w:t>标准的第1章</w:t>
      </w:r>
      <w:r>
        <w:rPr>
          <w:rFonts w:hAnsi="宋体" w:hint="eastAsia"/>
          <w:sz w:val="28"/>
          <w:szCs w:val="28"/>
        </w:rPr>
        <w:t>“范围”</w:t>
      </w:r>
      <w:r>
        <w:rPr>
          <w:rFonts w:hAnsi="宋体"/>
          <w:sz w:val="28"/>
          <w:szCs w:val="28"/>
        </w:rPr>
        <w:t>明确了</w:t>
      </w:r>
      <w:r>
        <w:rPr>
          <w:rFonts w:hAnsi="宋体" w:hint="eastAsia"/>
          <w:kern w:val="2"/>
          <w:sz w:val="28"/>
          <w:szCs w:val="28"/>
        </w:rPr>
        <w:t>硬质合金地矿和耐磨类单位产品能源消耗（以下简称“能耗”）的术语和定义、能耗限额等级、技术要求、能耗统计和计算方法及节能管理与措施。</w:t>
      </w:r>
    </w:p>
    <w:p w:rsidR="00E62293" w:rsidRDefault="00596B02">
      <w:pPr>
        <w:spacing w:line="276" w:lineRule="auto"/>
        <w:ind w:firstLineChars="200" w:firstLine="560"/>
        <w:rPr>
          <w:rFonts w:ascii="宋体" w:hAnsi="宋体"/>
          <w:sz w:val="28"/>
          <w:szCs w:val="28"/>
        </w:rPr>
      </w:pPr>
      <w:r>
        <w:rPr>
          <w:rFonts w:ascii="宋体" w:hAnsi="宋体"/>
          <w:sz w:val="28"/>
          <w:szCs w:val="28"/>
        </w:rPr>
        <w:t>标准的第2章“规范性引用文件”汇集了标准编写所引用的</w:t>
      </w:r>
      <w:r>
        <w:rPr>
          <w:rFonts w:ascii="宋体" w:hAnsi="宋体" w:hint="eastAsia"/>
          <w:sz w:val="28"/>
          <w:szCs w:val="28"/>
        </w:rPr>
        <w:t>全部</w:t>
      </w:r>
      <w:r>
        <w:rPr>
          <w:rFonts w:ascii="宋体" w:hAnsi="宋体"/>
          <w:sz w:val="28"/>
          <w:szCs w:val="28"/>
        </w:rPr>
        <w:t>标准，是引用标准的清单。</w:t>
      </w:r>
    </w:p>
    <w:p w:rsidR="00E62293" w:rsidRDefault="00596B02">
      <w:pPr>
        <w:spacing w:line="276" w:lineRule="auto"/>
        <w:ind w:firstLineChars="200" w:firstLine="560"/>
        <w:rPr>
          <w:rFonts w:ascii="宋体" w:hAnsi="宋体"/>
          <w:sz w:val="28"/>
          <w:szCs w:val="28"/>
        </w:rPr>
      </w:pPr>
      <w:r>
        <w:rPr>
          <w:rFonts w:ascii="宋体" w:hAnsi="宋体"/>
          <w:sz w:val="28"/>
          <w:szCs w:val="28"/>
        </w:rPr>
        <w:t>标准的第3章“术语和定义”</w:t>
      </w:r>
      <w:r>
        <w:rPr>
          <w:rFonts w:ascii="宋体" w:hAnsi="宋体" w:hint="eastAsia"/>
          <w:sz w:val="28"/>
          <w:szCs w:val="28"/>
        </w:rPr>
        <w:t>，对“硬质合金产品综合能耗”、“硬质合金单位产品综合能耗”等术语和定义进行明确。</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标准的第4章“</w:t>
      </w:r>
      <w:r>
        <w:rPr>
          <w:rFonts w:ascii="宋体" w:hAnsi="宋体"/>
          <w:sz w:val="28"/>
          <w:szCs w:val="28"/>
        </w:rPr>
        <w:t>能耗限</w:t>
      </w:r>
      <w:r>
        <w:rPr>
          <w:rFonts w:ascii="宋体" w:hAnsi="宋体" w:hint="eastAsia"/>
          <w:sz w:val="28"/>
          <w:szCs w:val="28"/>
        </w:rPr>
        <w:t>额等级”规定了硬质合金地矿类和耐磨类</w:t>
      </w:r>
      <w:r>
        <w:rPr>
          <w:rFonts w:ascii="宋体" w:hAnsi="宋体"/>
          <w:sz w:val="28"/>
          <w:szCs w:val="28"/>
        </w:rPr>
        <w:t>单位产品能耗限</w:t>
      </w:r>
      <w:r>
        <w:rPr>
          <w:rFonts w:ascii="宋体" w:hAnsi="宋体" w:hint="eastAsia"/>
          <w:sz w:val="28"/>
          <w:szCs w:val="28"/>
        </w:rPr>
        <w:t>额等级分为3级，并根据不同生产工艺分别确定</w:t>
      </w:r>
      <w:r>
        <w:rPr>
          <w:rFonts w:ascii="宋体" w:hAnsi="宋体"/>
          <w:sz w:val="28"/>
          <w:szCs w:val="28"/>
        </w:rPr>
        <w:t>单位产品</w:t>
      </w:r>
      <w:r>
        <w:rPr>
          <w:rFonts w:ascii="宋体" w:hAnsi="宋体" w:hint="eastAsia"/>
          <w:sz w:val="28"/>
          <w:szCs w:val="28"/>
        </w:rPr>
        <w:t>综合</w:t>
      </w:r>
      <w:r>
        <w:rPr>
          <w:rFonts w:ascii="宋体" w:hAnsi="宋体"/>
          <w:sz w:val="28"/>
          <w:szCs w:val="28"/>
        </w:rPr>
        <w:t>能耗</w:t>
      </w:r>
      <w:r>
        <w:rPr>
          <w:rFonts w:ascii="宋体" w:hAnsi="宋体" w:hint="eastAsia"/>
          <w:sz w:val="28"/>
          <w:szCs w:val="28"/>
        </w:rPr>
        <w:t>值，具体</w:t>
      </w:r>
      <w:r>
        <w:rPr>
          <w:rFonts w:ascii="宋体" w:hAnsi="宋体"/>
          <w:sz w:val="28"/>
          <w:szCs w:val="28"/>
        </w:rPr>
        <w:t>见表</w:t>
      </w:r>
      <w:r>
        <w:rPr>
          <w:rFonts w:ascii="宋体" w:hAnsi="宋体" w:hint="eastAsia"/>
          <w:sz w:val="28"/>
          <w:szCs w:val="28"/>
        </w:rPr>
        <w:t>3、表4</w:t>
      </w:r>
      <w:r>
        <w:rPr>
          <w:rFonts w:ascii="宋体" w:hAnsi="宋体"/>
          <w:sz w:val="28"/>
          <w:szCs w:val="28"/>
        </w:rPr>
        <w:t>。</w:t>
      </w:r>
    </w:p>
    <w:p w:rsidR="00E62293" w:rsidRDefault="00596B02">
      <w:pPr>
        <w:widowControl/>
        <w:jc w:val="center"/>
        <w:rPr>
          <w:rFonts w:eastAsia="黑体"/>
          <w:kern w:val="0"/>
          <w:sz w:val="28"/>
          <w:szCs w:val="28"/>
        </w:rPr>
      </w:pPr>
      <w:r>
        <w:rPr>
          <w:rFonts w:ascii="黑体" w:eastAsia="黑体" w:hint="eastAsia"/>
          <w:kern w:val="0"/>
          <w:sz w:val="28"/>
          <w:szCs w:val="28"/>
        </w:rPr>
        <w:t xml:space="preserve">表3  </w:t>
      </w:r>
      <w:r>
        <w:rPr>
          <w:rFonts w:eastAsia="黑体" w:hint="eastAsia"/>
          <w:kern w:val="0"/>
          <w:sz w:val="28"/>
          <w:szCs w:val="28"/>
        </w:rPr>
        <w:t>硬质合金地矿类</w:t>
      </w:r>
      <w:r>
        <w:rPr>
          <w:rFonts w:eastAsia="黑体"/>
          <w:kern w:val="0"/>
          <w:sz w:val="28"/>
          <w:szCs w:val="28"/>
        </w:rPr>
        <w:t>单位产品</w:t>
      </w:r>
      <w:r>
        <w:rPr>
          <w:rFonts w:eastAsia="黑体" w:hint="eastAsia"/>
          <w:kern w:val="0"/>
          <w:sz w:val="28"/>
          <w:szCs w:val="28"/>
        </w:rPr>
        <w:t>综合</w:t>
      </w:r>
      <w:r>
        <w:rPr>
          <w:rFonts w:eastAsia="黑体"/>
          <w:kern w:val="0"/>
          <w:sz w:val="28"/>
          <w:szCs w:val="28"/>
        </w:rPr>
        <w:t>能耗限</w:t>
      </w:r>
      <w:r>
        <w:rPr>
          <w:rFonts w:eastAsia="黑体" w:hint="eastAsia"/>
          <w:kern w:val="0"/>
          <w:sz w:val="28"/>
          <w:szCs w:val="28"/>
        </w:rPr>
        <w:t>额等级</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4"/>
        <w:gridCol w:w="1560"/>
        <w:gridCol w:w="1559"/>
        <w:gridCol w:w="1563"/>
      </w:tblGrid>
      <w:tr w:rsidR="00E62293">
        <w:trPr>
          <w:trHeight w:val="279"/>
          <w:jc w:val="center"/>
        </w:trPr>
        <w:tc>
          <w:tcPr>
            <w:tcW w:w="4684" w:type="dxa"/>
            <w:vMerge w:val="restart"/>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生产工艺</w:t>
            </w:r>
          </w:p>
        </w:tc>
        <w:tc>
          <w:tcPr>
            <w:tcW w:w="4682" w:type="dxa"/>
            <w:gridSpan w:val="3"/>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sz w:val="18"/>
                <w:szCs w:val="18"/>
              </w:rPr>
              <w:t>单位产品</w:t>
            </w:r>
            <w:r>
              <w:rPr>
                <w:rFonts w:asciiTheme="minorEastAsia" w:eastAsiaTheme="minorEastAsia" w:hAnsiTheme="minorEastAsia" w:hint="eastAsia"/>
                <w:sz w:val="18"/>
                <w:szCs w:val="18"/>
              </w:rPr>
              <w:t>综合</w:t>
            </w:r>
            <w:r>
              <w:rPr>
                <w:rFonts w:asciiTheme="minorEastAsia" w:eastAsiaTheme="minorEastAsia" w:hAnsiTheme="minorEastAsia"/>
                <w:sz w:val="18"/>
                <w:szCs w:val="18"/>
              </w:rPr>
              <w:t>能耗</w:t>
            </w:r>
            <w:r>
              <w:rPr>
                <w:rFonts w:asciiTheme="minorEastAsia" w:eastAsiaTheme="minorEastAsia" w:hAnsiTheme="minorEastAsia" w:hint="eastAsia"/>
                <w:sz w:val="18"/>
                <w:szCs w:val="18"/>
              </w:rPr>
              <w:t>限额等级</w:t>
            </w:r>
            <w:r>
              <w:rPr>
                <w:rFonts w:asciiTheme="minorEastAsia" w:eastAsiaTheme="minorEastAsia" w:hAnsiTheme="minorEastAsia"/>
                <w:sz w:val="18"/>
                <w:szCs w:val="18"/>
              </w:rPr>
              <w:t>（</w:t>
            </w:r>
            <w:proofErr w:type="spellStart"/>
            <w:r>
              <w:rPr>
                <w:rFonts w:asciiTheme="minorEastAsia" w:eastAsiaTheme="minorEastAsia" w:hAnsiTheme="minorEastAsia"/>
                <w:i/>
                <w:iCs/>
                <w:sz w:val="18"/>
                <w:szCs w:val="18"/>
              </w:rPr>
              <w:t>kgce</w:t>
            </w:r>
            <w:proofErr w:type="spellEnd"/>
            <w:r>
              <w:rPr>
                <w:rFonts w:asciiTheme="minorEastAsia" w:eastAsiaTheme="minorEastAsia" w:hAnsiTheme="minorEastAsia"/>
                <w:i/>
                <w:iCs/>
                <w:sz w:val="18"/>
                <w:szCs w:val="18"/>
              </w:rPr>
              <w:t>/ t</w:t>
            </w:r>
            <w:r>
              <w:rPr>
                <w:rFonts w:asciiTheme="minorEastAsia" w:eastAsiaTheme="minorEastAsia" w:hAnsiTheme="minorEastAsia"/>
                <w:sz w:val="18"/>
                <w:szCs w:val="18"/>
              </w:rPr>
              <w:t>）</w:t>
            </w:r>
          </w:p>
        </w:tc>
      </w:tr>
      <w:tr w:rsidR="00E62293">
        <w:trPr>
          <w:trHeight w:val="382"/>
          <w:jc w:val="center"/>
        </w:trPr>
        <w:tc>
          <w:tcPr>
            <w:tcW w:w="4684" w:type="dxa"/>
            <w:vMerge/>
            <w:noWrap/>
            <w:vAlign w:val="center"/>
          </w:tcPr>
          <w:p w:rsidR="00E62293" w:rsidRDefault="00E62293">
            <w:pPr>
              <w:jc w:val="center"/>
              <w:rPr>
                <w:rFonts w:asciiTheme="minorEastAsia" w:eastAsiaTheme="minorEastAsia" w:hAnsiTheme="minorEastAsia"/>
                <w:sz w:val="18"/>
                <w:szCs w:val="18"/>
              </w:rPr>
            </w:pPr>
          </w:p>
        </w:tc>
        <w:tc>
          <w:tcPr>
            <w:tcW w:w="1560" w:type="dxa"/>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1级</w:t>
            </w:r>
          </w:p>
        </w:tc>
        <w:tc>
          <w:tcPr>
            <w:tcW w:w="1559" w:type="dxa"/>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2级</w:t>
            </w:r>
          </w:p>
        </w:tc>
        <w:tc>
          <w:tcPr>
            <w:tcW w:w="1563" w:type="dxa"/>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3级</w:t>
            </w:r>
          </w:p>
        </w:tc>
      </w:tr>
      <w:tr w:rsidR="00E62293">
        <w:trPr>
          <w:trHeight w:val="448"/>
          <w:jc w:val="center"/>
        </w:trPr>
        <w:tc>
          <w:tcPr>
            <w:tcW w:w="4684" w:type="dxa"/>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压制—烧结—深加工—清洗干燥—成品检查—包装入库</w:t>
            </w:r>
          </w:p>
        </w:tc>
        <w:tc>
          <w:tcPr>
            <w:tcW w:w="1560" w:type="dxa"/>
            <w:noWrap/>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≤620</w:t>
            </w:r>
          </w:p>
        </w:tc>
        <w:tc>
          <w:tcPr>
            <w:tcW w:w="1559"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≤750</w:t>
            </w:r>
          </w:p>
        </w:tc>
        <w:tc>
          <w:tcPr>
            <w:tcW w:w="1563"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≤850</w:t>
            </w:r>
          </w:p>
        </w:tc>
      </w:tr>
      <w:tr w:rsidR="00E62293">
        <w:trPr>
          <w:trHeight w:val="448"/>
          <w:jc w:val="center"/>
        </w:trPr>
        <w:tc>
          <w:tcPr>
            <w:tcW w:w="4684" w:type="dxa"/>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压制—烧结—清洗干燥—成品检查—包装入库</w:t>
            </w:r>
          </w:p>
        </w:tc>
        <w:tc>
          <w:tcPr>
            <w:tcW w:w="1560" w:type="dxa"/>
            <w:noWrap/>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≤590</w:t>
            </w:r>
          </w:p>
        </w:tc>
        <w:tc>
          <w:tcPr>
            <w:tcW w:w="1559"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≤710</w:t>
            </w:r>
          </w:p>
        </w:tc>
        <w:tc>
          <w:tcPr>
            <w:tcW w:w="1563"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≤810</w:t>
            </w:r>
          </w:p>
        </w:tc>
      </w:tr>
    </w:tbl>
    <w:p w:rsidR="00E62293" w:rsidRDefault="00596B02">
      <w:pPr>
        <w:autoSpaceDE w:val="0"/>
        <w:autoSpaceDN w:val="0"/>
        <w:rPr>
          <w:rFonts w:asciiTheme="minorEastAsia" w:eastAsiaTheme="minorEastAsia" w:hAnsiTheme="minorEastAsia"/>
          <w:kern w:val="0"/>
          <w:sz w:val="18"/>
          <w:szCs w:val="18"/>
        </w:rPr>
      </w:pPr>
      <w:r>
        <w:rPr>
          <w:rFonts w:asciiTheme="minorEastAsia" w:eastAsiaTheme="minorEastAsia" w:hAnsiTheme="minorEastAsia"/>
          <w:kern w:val="0"/>
          <w:sz w:val="18"/>
          <w:szCs w:val="18"/>
        </w:rPr>
        <w:t>注：</w:t>
      </w:r>
      <w:r>
        <w:rPr>
          <w:rFonts w:asciiTheme="minorEastAsia" w:eastAsiaTheme="minorEastAsia" w:hAnsiTheme="minorEastAsia" w:hint="eastAsia"/>
          <w:kern w:val="0"/>
          <w:sz w:val="18"/>
          <w:szCs w:val="18"/>
        </w:rPr>
        <w:t>地矿类产品分类按GB/T 18376.2《硬质合金牌号 第2部分：地质、矿山工具用硬质合金牌号》。</w:t>
      </w:r>
    </w:p>
    <w:p w:rsidR="00E62293" w:rsidRDefault="00E62293">
      <w:pPr>
        <w:autoSpaceDE w:val="0"/>
        <w:autoSpaceDN w:val="0"/>
        <w:rPr>
          <w:rFonts w:asciiTheme="minorEastAsia" w:eastAsiaTheme="minorEastAsia" w:hAnsiTheme="minorEastAsia"/>
          <w:kern w:val="0"/>
          <w:sz w:val="18"/>
          <w:szCs w:val="18"/>
        </w:rPr>
      </w:pPr>
    </w:p>
    <w:p w:rsidR="00E62293" w:rsidRDefault="00596B02">
      <w:pPr>
        <w:widowControl/>
        <w:jc w:val="center"/>
        <w:rPr>
          <w:rFonts w:eastAsia="黑体"/>
          <w:kern w:val="0"/>
          <w:sz w:val="28"/>
          <w:szCs w:val="28"/>
        </w:rPr>
      </w:pPr>
      <w:r>
        <w:rPr>
          <w:rFonts w:ascii="黑体" w:eastAsia="黑体" w:hint="eastAsia"/>
          <w:kern w:val="0"/>
          <w:sz w:val="28"/>
          <w:szCs w:val="28"/>
        </w:rPr>
        <w:t xml:space="preserve">表4  </w:t>
      </w:r>
      <w:r>
        <w:rPr>
          <w:rFonts w:eastAsia="黑体" w:hint="eastAsia"/>
          <w:kern w:val="0"/>
          <w:sz w:val="28"/>
          <w:szCs w:val="28"/>
        </w:rPr>
        <w:t>硬质合金耐磨类</w:t>
      </w:r>
      <w:r>
        <w:rPr>
          <w:rFonts w:eastAsia="黑体"/>
          <w:kern w:val="0"/>
          <w:sz w:val="28"/>
          <w:szCs w:val="28"/>
        </w:rPr>
        <w:t>单位产品</w:t>
      </w:r>
      <w:r>
        <w:rPr>
          <w:rFonts w:eastAsia="黑体" w:hint="eastAsia"/>
          <w:kern w:val="0"/>
          <w:sz w:val="28"/>
          <w:szCs w:val="28"/>
        </w:rPr>
        <w:t>综合</w:t>
      </w:r>
      <w:r>
        <w:rPr>
          <w:rFonts w:eastAsia="黑体"/>
          <w:kern w:val="0"/>
          <w:sz w:val="28"/>
          <w:szCs w:val="28"/>
        </w:rPr>
        <w:t>能耗限</w:t>
      </w:r>
      <w:r>
        <w:rPr>
          <w:rFonts w:eastAsia="黑体" w:hint="eastAsia"/>
          <w:kern w:val="0"/>
          <w:sz w:val="28"/>
          <w:szCs w:val="28"/>
        </w:rPr>
        <w:t>额等级</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4"/>
        <w:gridCol w:w="1560"/>
        <w:gridCol w:w="1559"/>
        <w:gridCol w:w="1563"/>
      </w:tblGrid>
      <w:tr w:rsidR="00E62293">
        <w:trPr>
          <w:trHeight w:val="279"/>
          <w:jc w:val="center"/>
        </w:trPr>
        <w:tc>
          <w:tcPr>
            <w:tcW w:w="4684" w:type="dxa"/>
            <w:vMerge w:val="restart"/>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生产工艺</w:t>
            </w:r>
          </w:p>
        </w:tc>
        <w:tc>
          <w:tcPr>
            <w:tcW w:w="4682" w:type="dxa"/>
            <w:gridSpan w:val="3"/>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sz w:val="18"/>
                <w:szCs w:val="18"/>
              </w:rPr>
              <w:t>单位产品</w:t>
            </w:r>
            <w:r>
              <w:rPr>
                <w:rFonts w:asciiTheme="minorEastAsia" w:eastAsiaTheme="minorEastAsia" w:hAnsiTheme="minorEastAsia" w:hint="eastAsia"/>
                <w:sz w:val="18"/>
                <w:szCs w:val="18"/>
              </w:rPr>
              <w:t>综合</w:t>
            </w:r>
            <w:r>
              <w:rPr>
                <w:rFonts w:asciiTheme="minorEastAsia" w:eastAsiaTheme="minorEastAsia" w:hAnsiTheme="minorEastAsia"/>
                <w:sz w:val="18"/>
                <w:szCs w:val="18"/>
              </w:rPr>
              <w:t>能耗</w:t>
            </w:r>
            <w:r>
              <w:rPr>
                <w:rFonts w:asciiTheme="minorEastAsia" w:eastAsiaTheme="minorEastAsia" w:hAnsiTheme="minorEastAsia" w:hint="eastAsia"/>
                <w:sz w:val="18"/>
                <w:szCs w:val="18"/>
              </w:rPr>
              <w:t>限额等级</w:t>
            </w:r>
            <w:r>
              <w:rPr>
                <w:rFonts w:asciiTheme="minorEastAsia" w:eastAsiaTheme="minorEastAsia" w:hAnsiTheme="minorEastAsia"/>
                <w:sz w:val="18"/>
                <w:szCs w:val="18"/>
              </w:rPr>
              <w:t>（</w:t>
            </w:r>
            <w:proofErr w:type="spellStart"/>
            <w:r>
              <w:rPr>
                <w:rFonts w:asciiTheme="minorEastAsia" w:eastAsiaTheme="minorEastAsia" w:hAnsiTheme="minorEastAsia"/>
                <w:i/>
                <w:iCs/>
                <w:sz w:val="18"/>
                <w:szCs w:val="18"/>
              </w:rPr>
              <w:t>kgce</w:t>
            </w:r>
            <w:proofErr w:type="spellEnd"/>
            <w:r>
              <w:rPr>
                <w:rFonts w:asciiTheme="minorEastAsia" w:eastAsiaTheme="minorEastAsia" w:hAnsiTheme="minorEastAsia"/>
                <w:i/>
                <w:iCs/>
                <w:sz w:val="18"/>
                <w:szCs w:val="18"/>
              </w:rPr>
              <w:t>/ t</w:t>
            </w:r>
            <w:r>
              <w:rPr>
                <w:rFonts w:asciiTheme="minorEastAsia" w:eastAsiaTheme="minorEastAsia" w:hAnsiTheme="minorEastAsia"/>
                <w:sz w:val="18"/>
                <w:szCs w:val="18"/>
              </w:rPr>
              <w:t>）</w:t>
            </w:r>
          </w:p>
        </w:tc>
      </w:tr>
      <w:tr w:rsidR="00E62293">
        <w:trPr>
          <w:trHeight w:val="382"/>
          <w:jc w:val="center"/>
        </w:trPr>
        <w:tc>
          <w:tcPr>
            <w:tcW w:w="4684" w:type="dxa"/>
            <w:vMerge/>
            <w:noWrap/>
            <w:vAlign w:val="center"/>
          </w:tcPr>
          <w:p w:rsidR="00E62293" w:rsidRDefault="00E62293">
            <w:pPr>
              <w:jc w:val="center"/>
              <w:rPr>
                <w:rFonts w:asciiTheme="minorEastAsia" w:eastAsiaTheme="minorEastAsia" w:hAnsiTheme="minorEastAsia"/>
                <w:sz w:val="18"/>
                <w:szCs w:val="18"/>
              </w:rPr>
            </w:pPr>
          </w:p>
        </w:tc>
        <w:tc>
          <w:tcPr>
            <w:tcW w:w="1560" w:type="dxa"/>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1级</w:t>
            </w:r>
          </w:p>
        </w:tc>
        <w:tc>
          <w:tcPr>
            <w:tcW w:w="1559" w:type="dxa"/>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2级</w:t>
            </w:r>
          </w:p>
        </w:tc>
        <w:tc>
          <w:tcPr>
            <w:tcW w:w="1563" w:type="dxa"/>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3级</w:t>
            </w:r>
          </w:p>
        </w:tc>
      </w:tr>
      <w:tr w:rsidR="00E62293">
        <w:trPr>
          <w:trHeight w:val="448"/>
          <w:jc w:val="center"/>
        </w:trPr>
        <w:tc>
          <w:tcPr>
            <w:tcW w:w="4684" w:type="dxa"/>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压制—烧结—深加工—成品检查—包装入库</w:t>
            </w:r>
          </w:p>
        </w:tc>
        <w:tc>
          <w:tcPr>
            <w:tcW w:w="1560" w:type="dxa"/>
            <w:noWrap/>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≤1050</w:t>
            </w:r>
          </w:p>
        </w:tc>
        <w:tc>
          <w:tcPr>
            <w:tcW w:w="1559"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≤1140</w:t>
            </w:r>
          </w:p>
        </w:tc>
        <w:tc>
          <w:tcPr>
            <w:tcW w:w="1563"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≤1350</w:t>
            </w:r>
          </w:p>
        </w:tc>
      </w:tr>
      <w:tr w:rsidR="00E62293">
        <w:trPr>
          <w:trHeight w:val="448"/>
          <w:jc w:val="center"/>
        </w:trPr>
        <w:tc>
          <w:tcPr>
            <w:tcW w:w="4684" w:type="dxa"/>
            <w:noWrap/>
            <w:vAlign w:val="center"/>
          </w:tcPr>
          <w:p w:rsidR="00E62293" w:rsidRDefault="00596B0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压制—烧结—成品检查—包装入库</w:t>
            </w:r>
          </w:p>
        </w:tc>
        <w:tc>
          <w:tcPr>
            <w:tcW w:w="1560" w:type="dxa"/>
            <w:noWrap/>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≤920</w:t>
            </w:r>
          </w:p>
        </w:tc>
        <w:tc>
          <w:tcPr>
            <w:tcW w:w="1559"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≤990</w:t>
            </w:r>
          </w:p>
        </w:tc>
        <w:tc>
          <w:tcPr>
            <w:tcW w:w="1563" w:type="dxa"/>
            <w:vAlign w:val="center"/>
          </w:tcPr>
          <w:p w:rsidR="00E62293" w:rsidRDefault="00596B02">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≤1200</w:t>
            </w:r>
          </w:p>
        </w:tc>
      </w:tr>
    </w:tbl>
    <w:p w:rsidR="00E62293" w:rsidRDefault="00596B02">
      <w:pPr>
        <w:autoSpaceDE w:val="0"/>
        <w:autoSpaceDN w:val="0"/>
        <w:rPr>
          <w:rFonts w:asciiTheme="minorEastAsia" w:eastAsiaTheme="minorEastAsia" w:hAnsiTheme="minorEastAsia"/>
          <w:kern w:val="0"/>
          <w:sz w:val="18"/>
          <w:szCs w:val="18"/>
        </w:rPr>
      </w:pPr>
      <w:r>
        <w:rPr>
          <w:rFonts w:asciiTheme="minorEastAsia" w:eastAsiaTheme="minorEastAsia" w:hAnsiTheme="minorEastAsia"/>
          <w:kern w:val="0"/>
          <w:sz w:val="18"/>
          <w:szCs w:val="18"/>
        </w:rPr>
        <w:t>注：</w:t>
      </w:r>
      <w:r>
        <w:rPr>
          <w:rFonts w:asciiTheme="minorEastAsia" w:eastAsiaTheme="minorEastAsia" w:hAnsiTheme="minorEastAsia" w:hint="eastAsia"/>
          <w:kern w:val="0"/>
          <w:sz w:val="18"/>
          <w:szCs w:val="18"/>
        </w:rPr>
        <w:t>耐磨类产品分类按GB/T 18376.3《硬质合金牌号 第3部分：耐磨零件用硬质合金牌号》。</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标准的第5章“技术要求”规定了现有生产企业硬质合金地矿类单位产品综合能耗限定值应符合表3中能耗限额等级的3级及以上要求；新建或改扩建项目硬质合金地矿类单位产品综合能耗准入值应符合表3中能耗限额等级的2级及以上要求。现有生产企业硬质合金耐磨类单位产品综合能耗限定值应符合表4中能耗限额等级的3级及以上要求；新建或改扩建项目硬质合金耐磨类单位产品综合能耗准入值应符合表4中能耗限额等级的2级及以上要求。</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标准的第6章“能耗统计和计算方法”介绍了地矿类和耐磨类硬质合金生产企业能耗统计的范围，各种能源折算为标准煤的原则、综合能耗计算通则的规定、能源消耗量、和企业综合能耗的统计方法，明确了地矿类和耐磨类硬质合金综合能耗和地矿类和耐磨类硬质合金单位产品综合能耗的计算方法。</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标准的第7章“节能管理与措施”，从节能管理的角度提出了管理要求和节能措施。</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七、采用国际标准和国外先进标准的程度</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没有查询到国际和国外有同类标准。</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lastRenderedPageBreak/>
        <w:t>八、与国内相关标准间的关系</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本标准是首次制定，经查询无相关国家标准、行业标准和团体标准。</w:t>
      </w:r>
    </w:p>
    <w:p w:rsidR="00E62293" w:rsidRDefault="00596B02">
      <w:pPr>
        <w:spacing w:line="276" w:lineRule="auto"/>
        <w:ind w:firstLineChars="200" w:firstLine="560"/>
        <w:rPr>
          <w:rFonts w:ascii="黑体" w:eastAsia="黑体" w:hAnsi="黑体"/>
          <w:sz w:val="28"/>
          <w:szCs w:val="28"/>
        </w:rPr>
      </w:pPr>
      <w:r>
        <w:rPr>
          <w:rFonts w:ascii="黑体" w:eastAsia="黑体" w:hAnsi="黑体" w:hint="eastAsia"/>
          <w:sz w:val="28"/>
          <w:szCs w:val="28"/>
        </w:rPr>
        <w:t>九、是否发现有知识产权的问题</w:t>
      </w:r>
    </w:p>
    <w:p w:rsidR="00E62293" w:rsidRDefault="00596B02">
      <w:pPr>
        <w:spacing w:line="276" w:lineRule="auto"/>
        <w:ind w:firstLineChars="200" w:firstLine="560"/>
        <w:rPr>
          <w:rFonts w:ascii="宋体" w:hAnsi="宋体"/>
          <w:sz w:val="28"/>
          <w:szCs w:val="28"/>
        </w:rPr>
      </w:pPr>
      <w:r>
        <w:rPr>
          <w:rFonts w:ascii="宋体" w:hAnsi="宋体" w:hint="eastAsia"/>
          <w:sz w:val="28"/>
          <w:szCs w:val="28"/>
        </w:rPr>
        <w:t>本标准没有涉及国内外专利，无知识产权问题。</w:t>
      </w:r>
    </w:p>
    <w:p w:rsidR="00E62293" w:rsidRDefault="00596B02">
      <w:pPr>
        <w:spacing w:line="276" w:lineRule="auto"/>
        <w:ind w:firstLineChars="200" w:firstLine="560"/>
        <w:rPr>
          <w:rFonts w:ascii="宋体" w:hAnsi="宋体" w:hint="eastAsia"/>
          <w:sz w:val="28"/>
          <w:szCs w:val="28"/>
        </w:rPr>
      </w:pPr>
      <w:r>
        <w:rPr>
          <w:rFonts w:ascii="宋体" w:hAnsi="宋体"/>
          <w:sz w:val="28"/>
          <w:szCs w:val="28"/>
        </w:rPr>
        <w:t>经过</w:t>
      </w:r>
      <w:r>
        <w:rPr>
          <w:rFonts w:ascii="宋体" w:hAnsi="宋体" w:hint="eastAsia"/>
          <w:sz w:val="28"/>
          <w:szCs w:val="28"/>
        </w:rPr>
        <w:t>标准</w:t>
      </w:r>
      <w:r>
        <w:rPr>
          <w:rFonts w:ascii="宋体" w:hAnsi="宋体"/>
          <w:sz w:val="28"/>
          <w:szCs w:val="28"/>
        </w:rPr>
        <w:t>编写人员的</w:t>
      </w:r>
      <w:r>
        <w:rPr>
          <w:rFonts w:ascii="宋体" w:hAnsi="宋体" w:hint="eastAsia"/>
          <w:sz w:val="28"/>
          <w:szCs w:val="28"/>
        </w:rPr>
        <w:t>共同</w:t>
      </w:r>
      <w:r>
        <w:rPr>
          <w:rFonts w:ascii="宋体" w:hAnsi="宋体"/>
          <w:sz w:val="28"/>
          <w:szCs w:val="28"/>
        </w:rPr>
        <w:t>努力，标准编写</w:t>
      </w:r>
      <w:r>
        <w:rPr>
          <w:rFonts w:ascii="宋体" w:hAnsi="宋体" w:hint="eastAsia"/>
          <w:sz w:val="28"/>
          <w:szCs w:val="28"/>
        </w:rPr>
        <w:t>工作小</w:t>
      </w:r>
      <w:r>
        <w:rPr>
          <w:rFonts w:ascii="宋体" w:hAnsi="宋体"/>
          <w:sz w:val="28"/>
          <w:szCs w:val="28"/>
        </w:rPr>
        <w:t>组完成了</w:t>
      </w:r>
      <w:r>
        <w:rPr>
          <w:rFonts w:ascii="宋体" w:hAnsi="宋体" w:hint="eastAsia"/>
          <w:sz w:val="28"/>
          <w:szCs w:val="28"/>
        </w:rPr>
        <w:t>《硬质合金</w:t>
      </w:r>
      <w:r w:rsidR="00E855AF">
        <w:rPr>
          <w:rFonts w:ascii="宋体" w:hAnsi="宋体" w:hint="eastAsia"/>
          <w:sz w:val="28"/>
          <w:szCs w:val="28"/>
        </w:rPr>
        <w:t>能耗</w:t>
      </w:r>
      <w:r>
        <w:rPr>
          <w:rFonts w:ascii="宋体" w:hAnsi="宋体" w:hint="eastAsia"/>
          <w:sz w:val="28"/>
          <w:szCs w:val="28"/>
        </w:rPr>
        <w:t>及计算方法 第1部分：地矿和耐磨类》</w:t>
      </w:r>
      <w:r>
        <w:rPr>
          <w:rFonts w:ascii="宋体" w:hAnsi="宋体"/>
          <w:sz w:val="28"/>
          <w:szCs w:val="28"/>
        </w:rPr>
        <w:t>（</w:t>
      </w:r>
      <w:r w:rsidR="00E855AF">
        <w:rPr>
          <w:rFonts w:ascii="宋体" w:hAnsi="宋体" w:hint="eastAsia"/>
          <w:sz w:val="28"/>
          <w:szCs w:val="28"/>
        </w:rPr>
        <w:t>征求意见</w:t>
      </w:r>
      <w:r>
        <w:rPr>
          <w:rFonts w:ascii="宋体" w:hAnsi="宋体"/>
          <w:sz w:val="28"/>
          <w:szCs w:val="28"/>
        </w:rPr>
        <w:t>稿）的编写工作</w:t>
      </w:r>
      <w:r>
        <w:rPr>
          <w:rFonts w:ascii="宋体" w:hAnsi="宋体" w:hint="eastAsia"/>
          <w:sz w:val="28"/>
          <w:szCs w:val="28"/>
        </w:rPr>
        <w:t>，</w:t>
      </w:r>
      <w:r>
        <w:rPr>
          <w:rFonts w:ascii="宋体" w:hAnsi="宋体"/>
          <w:sz w:val="28"/>
          <w:szCs w:val="28"/>
        </w:rPr>
        <w:t>上报省标准化行政主管部门</w:t>
      </w:r>
      <w:r w:rsidR="00E855AF">
        <w:rPr>
          <w:rFonts w:ascii="宋体" w:hAnsi="宋体" w:hint="eastAsia"/>
          <w:sz w:val="28"/>
          <w:szCs w:val="28"/>
        </w:rPr>
        <w:t>公开征求意见</w:t>
      </w:r>
      <w:r>
        <w:rPr>
          <w:rFonts w:ascii="宋体" w:hAnsi="宋体"/>
          <w:sz w:val="28"/>
          <w:szCs w:val="28"/>
        </w:rPr>
        <w:t>。</w:t>
      </w:r>
    </w:p>
    <w:p w:rsidR="00880510" w:rsidRDefault="00880510">
      <w:pPr>
        <w:spacing w:line="276" w:lineRule="auto"/>
        <w:ind w:firstLineChars="200" w:firstLine="560"/>
        <w:rPr>
          <w:rFonts w:ascii="宋体" w:hAnsi="宋体" w:hint="eastAsia"/>
          <w:sz w:val="28"/>
          <w:szCs w:val="28"/>
        </w:rPr>
      </w:pPr>
    </w:p>
    <w:p w:rsidR="00880510" w:rsidRDefault="00880510" w:rsidP="00880510">
      <w:pPr>
        <w:spacing w:line="276" w:lineRule="auto"/>
        <w:ind w:firstLineChars="1550" w:firstLine="4340"/>
        <w:rPr>
          <w:rFonts w:ascii="宋体" w:hAnsi="宋体" w:hint="eastAsia"/>
          <w:sz w:val="28"/>
          <w:szCs w:val="28"/>
        </w:rPr>
      </w:pPr>
      <w:bookmarkStart w:id="0" w:name="_GoBack"/>
      <w:bookmarkEnd w:id="0"/>
      <w:r>
        <w:rPr>
          <w:rFonts w:ascii="宋体" w:hAnsi="宋体" w:hint="eastAsia"/>
          <w:sz w:val="28"/>
          <w:szCs w:val="28"/>
        </w:rPr>
        <w:t>硬质合金能耗标准编写工作小组</w:t>
      </w:r>
    </w:p>
    <w:p w:rsidR="00880510" w:rsidRPr="00880510" w:rsidRDefault="00880510" w:rsidP="00880510">
      <w:pPr>
        <w:spacing w:line="276" w:lineRule="auto"/>
        <w:ind w:firstLineChars="2000" w:firstLine="5600"/>
        <w:rPr>
          <w:rFonts w:ascii="宋体" w:hAnsi="宋体"/>
          <w:sz w:val="28"/>
          <w:szCs w:val="28"/>
        </w:rPr>
      </w:pPr>
      <w:r>
        <w:rPr>
          <w:rFonts w:ascii="宋体" w:hAnsi="宋体" w:hint="eastAsia"/>
          <w:sz w:val="28"/>
          <w:szCs w:val="28"/>
        </w:rPr>
        <w:t>2023年1月</w:t>
      </w:r>
    </w:p>
    <w:p w:rsidR="00E62293" w:rsidRDefault="00E62293">
      <w:pPr>
        <w:spacing w:line="276" w:lineRule="auto"/>
        <w:ind w:firstLineChars="200" w:firstLine="560"/>
        <w:rPr>
          <w:rFonts w:ascii="仿宋_GB2312" w:eastAsia="仿宋_GB2312" w:hAnsi="黑体"/>
          <w:sz w:val="28"/>
          <w:szCs w:val="28"/>
        </w:rPr>
      </w:pPr>
    </w:p>
    <w:p w:rsidR="00E62293" w:rsidRDefault="00E62293">
      <w:pPr>
        <w:spacing w:line="276" w:lineRule="auto"/>
        <w:ind w:right="560"/>
        <w:rPr>
          <w:rFonts w:ascii="宋体" w:hAnsi="宋体"/>
          <w:sz w:val="28"/>
          <w:szCs w:val="28"/>
        </w:rPr>
      </w:pPr>
    </w:p>
    <w:sectPr w:rsidR="00E62293">
      <w:footerReference w:type="default" r:id="rId8"/>
      <w:pgSz w:w="11906" w:h="16838"/>
      <w:pgMar w:top="1418" w:right="1474" w:bottom="1418" w:left="1474"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0F3" w:rsidRDefault="001D60F3" w:rsidP="00596B02">
      <w:r>
        <w:separator/>
      </w:r>
    </w:p>
  </w:endnote>
  <w:endnote w:type="continuationSeparator" w:id="0">
    <w:p w:rsidR="001D60F3" w:rsidRDefault="001D60F3" w:rsidP="0059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8436550"/>
      <w:docPartObj>
        <w:docPartGallery w:val="Page Numbers (Bottom of Page)"/>
        <w:docPartUnique/>
      </w:docPartObj>
    </w:sdtPr>
    <w:sdtEndPr/>
    <w:sdtContent>
      <w:p w:rsidR="00596B02" w:rsidRDefault="00596B02" w:rsidP="00596B02">
        <w:pPr>
          <w:pStyle w:val="a5"/>
          <w:jc w:val="center"/>
        </w:pPr>
        <w:r>
          <w:fldChar w:fldCharType="begin"/>
        </w:r>
        <w:r>
          <w:instrText>PAGE   \* MERGEFORMAT</w:instrText>
        </w:r>
        <w:r>
          <w:fldChar w:fldCharType="separate"/>
        </w:r>
        <w:r w:rsidR="00880510" w:rsidRPr="00880510">
          <w:rPr>
            <w:noProof/>
            <w:lang w:val="zh-CN"/>
          </w:rPr>
          <w:t>9</w:t>
        </w:r>
        <w:r>
          <w:fldChar w:fldCharType="end"/>
        </w:r>
      </w:p>
    </w:sdtContent>
  </w:sdt>
  <w:p w:rsidR="00596B02" w:rsidRDefault="00596B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0F3" w:rsidRDefault="001D60F3" w:rsidP="00596B02">
      <w:r>
        <w:separator/>
      </w:r>
    </w:p>
  </w:footnote>
  <w:footnote w:type="continuationSeparator" w:id="0">
    <w:p w:rsidR="001D60F3" w:rsidRDefault="001D60F3" w:rsidP="00596B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0MDU1MTVhZjA5NGExZTA5NzZjNmZiY2RkODc5YTMifQ=="/>
  </w:docVars>
  <w:rsids>
    <w:rsidRoot w:val="00940044"/>
    <w:rsid w:val="0000091F"/>
    <w:rsid w:val="000207A7"/>
    <w:rsid w:val="0003728F"/>
    <w:rsid w:val="00065FCC"/>
    <w:rsid w:val="00086100"/>
    <w:rsid w:val="00091FF0"/>
    <w:rsid w:val="000B73D5"/>
    <w:rsid w:val="000D1A1F"/>
    <w:rsid w:val="000D6F67"/>
    <w:rsid w:val="000E4B72"/>
    <w:rsid w:val="000F5D36"/>
    <w:rsid w:val="001159D2"/>
    <w:rsid w:val="00126D3A"/>
    <w:rsid w:val="00140F8D"/>
    <w:rsid w:val="001441B8"/>
    <w:rsid w:val="0015485F"/>
    <w:rsid w:val="001662D3"/>
    <w:rsid w:val="00180C59"/>
    <w:rsid w:val="0018444A"/>
    <w:rsid w:val="001B6A06"/>
    <w:rsid w:val="001D5E01"/>
    <w:rsid w:val="001D60F3"/>
    <w:rsid w:val="00251BCE"/>
    <w:rsid w:val="002B5D48"/>
    <w:rsid w:val="003051D7"/>
    <w:rsid w:val="00355B78"/>
    <w:rsid w:val="00362647"/>
    <w:rsid w:val="0037132E"/>
    <w:rsid w:val="003722E2"/>
    <w:rsid w:val="00386C9C"/>
    <w:rsid w:val="003909D6"/>
    <w:rsid w:val="003C70AF"/>
    <w:rsid w:val="00410D09"/>
    <w:rsid w:val="0041361F"/>
    <w:rsid w:val="004232AF"/>
    <w:rsid w:val="00432E0C"/>
    <w:rsid w:val="00452E7B"/>
    <w:rsid w:val="00471379"/>
    <w:rsid w:val="004C2691"/>
    <w:rsid w:val="004C2A1B"/>
    <w:rsid w:val="00513D0C"/>
    <w:rsid w:val="00526BD3"/>
    <w:rsid w:val="00562792"/>
    <w:rsid w:val="00574221"/>
    <w:rsid w:val="00584159"/>
    <w:rsid w:val="005967BC"/>
    <w:rsid w:val="00596B02"/>
    <w:rsid w:val="00635D35"/>
    <w:rsid w:val="00653471"/>
    <w:rsid w:val="00675343"/>
    <w:rsid w:val="006A515E"/>
    <w:rsid w:val="006B15D1"/>
    <w:rsid w:val="006B6E61"/>
    <w:rsid w:val="006D17AC"/>
    <w:rsid w:val="006E17B5"/>
    <w:rsid w:val="006E509D"/>
    <w:rsid w:val="006F25DF"/>
    <w:rsid w:val="00706953"/>
    <w:rsid w:val="00716619"/>
    <w:rsid w:val="007205D1"/>
    <w:rsid w:val="00722709"/>
    <w:rsid w:val="00730379"/>
    <w:rsid w:val="00731E86"/>
    <w:rsid w:val="00760916"/>
    <w:rsid w:val="00763FF5"/>
    <w:rsid w:val="00780E2B"/>
    <w:rsid w:val="00786298"/>
    <w:rsid w:val="007971CE"/>
    <w:rsid w:val="007A561B"/>
    <w:rsid w:val="007A6D46"/>
    <w:rsid w:val="007C1C5D"/>
    <w:rsid w:val="007C6E2E"/>
    <w:rsid w:val="007E4FA7"/>
    <w:rsid w:val="00800E9F"/>
    <w:rsid w:val="00820352"/>
    <w:rsid w:val="008566E2"/>
    <w:rsid w:val="00867101"/>
    <w:rsid w:val="00880510"/>
    <w:rsid w:val="008D4B32"/>
    <w:rsid w:val="008E19BE"/>
    <w:rsid w:val="008F0021"/>
    <w:rsid w:val="00910EA7"/>
    <w:rsid w:val="0092045A"/>
    <w:rsid w:val="00933F8A"/>
    <w:rsid w:val="009351A9"/>
    <w:rsid w:val="00937644"/>
    <w:rsid w:val="00940044"/>
    <w:rsid w:val="009428D2"/>
    <w:rsid w:val="009440FC"/>
    <w:rsid w:val="009524BC"/>
    <w:rsid w:val="00964723"/>
    <w:rsid w:val="00975E8B"/>
    <w:rsid w:val="009863E4"/>
    <w:rsid w:val="00990DC1"/>
    <w:rsid w:val="00995F9D"/>
    <w:rsid w:val="009B0F25"/>
    <w:rsid w:val="009D04AF"/>
    <w:rsid w:val="009E42E4"/>
    <w:rsid w:val="00A67039"/>
    <w:rsid w:val="00A7156C"/>
    <w:rsid w:val="00AB1822"/>
    <w:rsid w:val="00AD51BB"/>
    <w:rsid w:val="00AF3CBB"/>
    <w:rsid w:val="00B004B4"/>
    <w:rsid w:val="00B06A21"/>
    <w:rsid w:val="00B141D4"/>
    <w:rsid w:val="00B15B87"/>
    <w:rsid w:val="00B23087"/>
    <w:rsid w:val="00B2579D"/>
    <w:rsid w:val="00B73211"/>
    <w:rsid w:val="00BF5363"/>
    <w:rsid w:val="00BF54FE"/>
    <w:rsid w:val="00C01BAA"/>
    <w:rsid w:val="00C53A38"/>
    <w:rsid w:val="00C66318"/>
    <w:rsid w:val="00CD4BC2"/>
    <w:rsid w:val="00CF6EA7"/>
    <w:rsid w:val="00D25F19"/>
    <w:rsid w:val="00D62446"/>
    <w:rsid w:val="00D92393"/>
    <w:rsid w:val="00D93E35"/>
    <w:rsid w:val="00DF3076"/>
    <w:rsid w:val="00E141EE"/>
    <w:rsid w:val="00E3511B"/>
    <w:rsid w:val="00E5076D"/>
    <w:rsid w:val="00E62293"/>
    <w:rsid w:val="00E855AF"/>
    <w:rsid w:val="00E9199E"/>
    <w:rsid w:val="00EA3DEA"/>
    <w:rsid w:val="00EC0469"/>
    <w:rsid w:val="00EF0E43"/>
    <w:rsid w:val="00EF742E"/>
    <w:rsid w:val="00F018A9"/>
    <w:rsid w:val="00F20925"/>
    <w:rsid w:val="00F47063"/>
    <w:rsid w:val="00F6543D"/>
    <w:rsid w:val="00FA3F3B"/>
    <w:rsid w:val="00FC48CB"/>
    <w:rsid w:val="00FC7C17"/>
    <w:rsid w:val="2BFF6DAC"/>
    <w:rsid w:val="390D6C13"/>
    <w:rsid w:val="3EBD2D58"/>
    <w:rsid w:val="467D2D1F"/>
    <w:rsid w:val="525C6F61"/>
    <w:rsid w:val="63922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pPr>
      <w:ind w:leftChars="2500" w:left="100"/>
    </w:pPr>
  </w:style>
  <w:style w:type="paragraph" w:styleId="a4">
    <w:name w:val="Balloon Text"/>
    <w:basedOn w:val="a"/>
    <w:link w:val="Char0"/>
    <w:rPr>
      <w:sz w:val="18"/>
      <w:szCs w:val="18"/>
    </w:rPr>
  </w:style>
  <w:style w:type="paragraph" w:styleId="a5">
    <w:name w:val="footer"/>
    <w:basedOn w:val="a"/>
    <w:link w:val="Char1"/>
    <w:uiPriority w:val="99"/>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table" w:styleId="a7">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段"/>
    <w:pPr>
      <w:tabs>
        <w:tab w:val="center" w:pos="4201"/>
        <w:tab w:val="right" w:leader="dot" w:pos="9298"/>
      </w:tabs>
      <w:autoSpaceDE w:val="0"/>
      <w:autoSpaceDN w:val="0"/>
      <w:ind w:firstLineChars="200" w:firstLine="420"/>
      <w:jc w:val="both"/>
    </w:pPr>
    <w:rPr>
      <w:rFonts w:ascii="宋体"/>
      <w:sz w:val="21"/>
    </w:rPr>
  </w:style>
  <w:style w:type="character" w:customStyle="1" w:styleId="Char2">
    <w:name w:val="页眉 Char"/>
    <w:link w:val="a6"/>
    <w:rPr>
      <w:kern w:val="2"/>
      <w:sz w:val="18"/>
      <w:szCs w:val="18"/>
    </w:rPr>
  </w:style>
  <w:style w:type="character" w:customStyle="1" w:styleId="Char1">
    <w:name w:val="页脚 Char"/>
    <w:link w:val="a5"/>
    <w:uiPriority w:val="99"/>
    <w:rPr>
      <w:kern w:val="2"/>
      <w:sz w:val="18"/>
      <w:szCs w:val="18"/>
    </w:rPr>
  </w:style>
  <w:style w:type="character" w:customStyle="1" w:styleId="Char">
    <w:name w:val="日期 Char"/>
    <w:link w:val="a3"/>
    <w:rPr>
      <w:kern w:val="2"/>
      <w:sz w:val="21"/>
      <w:szCs w:val="24"/>
    </w:rPr>
  </w:style>
  <w:style w:type="character" w:customStyle="1" w:styleId="Char0">
    <w:name w:val="批注框文本 Char"/>
    <w:link w:val="a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pPr>
      <w:ind w:leftChars="2500" w:left="100"/>
    </w:pPr>
  </w:style>
  <w:style w:type="paragraph" w:styleId="a4">
    <w:name w:val="Balloon Text"/>
    <w:basedOn w:val="a"/>
    <w:link w:val="Char0"/>
    <w:rPr>
      <w:sz w:val="18"/>
      <w:szCs w:val="18"/>
    </w:rPr>
  </w:style>
  <w:style w:type="paragraph" w:styleId="a5">
    <w:name w:val="footer"/>
    <w:basedOn w:val="a"/>
    <w:link w:val="Char1"/>
    <w:uiPriority w:val="99"/>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table" w:styleId="a7">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段"/>
    <w:pPr>
      <w:tabs>
        <w:tab w:val="center" w:pos="4201"/>
        <w:tab w:val="right" w:leader="dot" w:pos="9298"/>
      </w:tabs>
      <w:autoSpaceDE w:val="0"/>
      <w:autoSpaceDN w:val="0"/>
      <w:ind w:firstLineChars="200" w:firstLine="420"/>
      <w:jc w:val="both"/>
    </w:pPr>
    <w:rPr>
      <w:rFonts w:ascii="宋体"/>
      <w:sz w:val="21"/>
    </w:rPr>
  </w:style>
  <w:style w:type="character" w:customStyle="1" w:styleId="Char2">
    <w:name w:val="页眉 Char"/>
    <w:link w:val="a6"/>
    <w:rPr>
      <w:kern w:val="2"/>
      <w:sz w:val="18"/>
      <w:szCs w:val="18"/>
    </w:rPr>
  </w:style>
  <w:style w:type="character" w:customStyle="1" w:styleId="Char1">
    <w:name w:val="页脚 Char"/>
    <w:link w:val="a5"/>
    <w:uiPriority w:val="99"/>
    <w:rPr>
      <w:kern w:val="2"/>
      <w:sz w:val="18"/>
      <w:szCs w:val="18"/>
    </w:rPr>
  </w:style>
  <w:style w:type="character" w:customStyle="1" w:styleId="Char">
    <w:name w:val="日期 Char"/>
    <w:link w:val="a3"/>
    <w:rPr>
      <w:kern w:val="2"/>
      <w:sz w:val="21"/>
      <w:szCs w:val="24"/>
    </w:rPr>
  </w:style>
  <w:style w:type="character" w:customStyle="1" w:styleId="Char0">
    <w:name w:val="批注框文本 Char"/>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775</Words>
  <Characters>4418</Characters>
  <Application>Microsoft Office Word</Application>
  <DocSecurity>0</DocSecurity>
  <Lines>36</Lines>
  <Paragraphs>10</Paragraphs>
  <ScaleCrop>false</ScaleCrop>
  <Company>湖南省标准化协会</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湖南省《居民家庭经济状况核对工作规范》地方标准编制说明</dc:title>
  <dc:creator>webUser</dc:creator>
  <cp:lastModifiedBy>龚斌</cp:lastModifiedBy>
  <cp:revision>5</cp:revision>
  <cp:lastPrinted>2023-09-12T02:43:00Z</cp:lastPrinted>
  <dcterms:created xsi:type="dcterms:W3CDTF">2023-09-12T02:43:00Z</dcterms:created>
  <dcterms:modified xsi:type="dcterms:W3CDTF">2023-09-13T06:00:00Z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DD419BF3BA524315B9BD8C06B9FFE51F</vt:lpwstr>
  </property>
</Properties>
</file>